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ook w:val="0000" w:firstRow="0" w:lastRow="0" w:firstColumn="0" w:lastColumn="0" w:noHBand="0" w:noVBand="0"/>
      </w:tblPr>
      <w:tblGrid>
        <w:gridCol w:w="3456"/>
        <w:gridCol w:w="6008"/>
      </w:tblGrid>
      <w:tr w:rsidR="00C119A2" w:rsidRPr="007D7E0B" w14:paraId="03F01C12" w14:textId="77777777" w:rsidTr="00492118">
        <w:tc>
          <w:tcPr>
            <w:tcW w:w="9464" w:type="dxa"/>
            <w:gridSpan w:val="2"/>
          </w:tcPr>
          <w:p w14:paraId="62E94A00" w14:textId="309800A3" w:rsidR="00C119A2" w:rsidRDefault="00C119A2" w:rsidP="00AD6D80">
            <w:pPr>
              <w:pStyle w:val="Infotext"/>
              <w:rPr>
                <w:rFonts w:ascii="Arial Black" w:hAnsi="Arial Black"/>
                <w:color w:val="999999"/>
                <w:sz w:val="36"/>
                <w:szCs w:val="36"/>
              </w:rPr>
            </w:pPr>
          </w:p>
          <w:p w14:paraId="2AC8CC06" w14:textId="77777777" w:rsidR="00C119A2" w:rsidRDefault="00BE375D"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0DA4899" wp14:editId="012007DA">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447DCD7" w14:textId="77777777" w:rsidR="00C119A2" w:rsidRDefault="00C119A2" w:rsidP="00AD6D80">
            <w:pPr>
              <w:pStyle w:val="Infotext"/>
              <w:rPr>
                <w:rFonts w:ascii="Arial Black" w:hAnsi="Arial Black" w:cs="Arial"/>
                <w:sz w:val="36"/>
                <w:szCs w:val="36"/>
              </w:rPr>
            </w:pPr>
          </w:p>
        </w:tc>
      </w:tr>
      <w:tr w:rsidR="00333FAA" w14:paraId="04BC8DAD" w14:textId="77777777" w:rsidTr="004C6C48">
        <w:tc>
          <w:tcPr>
            <w:tcW w:w="3456" w:type="dxa"/>
            <w:tcBorders>
              <w:bottom w:val="single" w:sz="4" w:space="0" w:color="auto"/>
            </w:tcBorders>
          </w:tcPr>
          <w:p w14:paraId="2D718AAC" w14:textId="77777777" w:rsidR="00333FAA" w:rsidRPr="00B805DB" w:rsidRDefault="00333FAA" w:rsidP="00A53B04">
            <w:pPr>
              <w:pStyle w:val="Infotext"/>
              <w:rPr>
                <w:rFonts w:ascii="Arial Black" w:hAnsi="Arial Black"/>
                <w:color w:val="999999"/>
                <w:sz w:val="36"/>
                <w:szCs w:val="36"/>
              </w:rPr>
            </w:pPr>
            <w:r w:rsidRPr="00A94722">
              <w:rPr>
                <w:rFonts w:ascii="Arial Black" w:hAnsi="Arial Black"/>
                <w:color w:val="000000" w:themeColor="text1"/>
                <w:sz w:val="36"/>
                <w:szCs w:val="36"/>
              </w:rPr>
              <w:t>REPORT FOR:</w:t>
            </w:r>
          </w:p>
          <w:p w14:paraId="77E1C1CC" w14:textId="77777777" w:rsidR="00333FAA" w:rsidRPr="00B805DB" w:rsidRDefault="00333FAA" w:rsidP="00A53B04">
            <w:pPr>
              <w:pStyle w:val="Infotext"/>
              <w:rPr>
                <w:rFonts w:ascii="Arial Black" w:hAnsi="Arial Black" w:cs="Arial"/>
                <w:sz w:val="36"/>
                <w:szCs w:val="36"/>
              </w:rPr>
            </w:pPr>
            <w:bookmarkStart w:id="0" w:name="_GoBack"/>
            <w:bookmarkEnd w:id="0"/>
          </w:p>
        </w:tc>
        <w:tc>
          <w:tcPr>
            <w:tcW w:w="6008" w:type="dxa"/>
            <w:tcBorders>
              <w:bottom w:val="single" w:sz="4" w:space="0" w:color="auto"/>
            </w:tcBorders>
          </w:tcPr>
          <w:p w14:paraId="2AD49CBB" w14:textId="77777777" w:rsidR="00333FAA" w:rsidRPr="005E3A10" w:rsidRDefault="00333FAA" w:rsidP="00A53B04">
            <w:pPr>
              <w:rPr>
                <w:rFonts w:ascii="Arial Black" w:hAnsi="Arial Black" w:cs="Arial"/>
                <w:sz w:val="36"/>
                <w:szCs w:val="36"/>
              </w:rPr>
            </w:pPr>
            <w:r w:rsidRPr="00C214FF">
              <w:rPr>
                <w:rFonts w:ascii="Arial Black" w:hAnsi="Arial Black" w:cs="Arial"/>
                <w:sz w:val="36"/>
                <w:szCs w:val="36"/>
              </w:rPr>
              <w:t>CABINET</w:t>
            </w:r>
          </w:p>
          <w:p w14:paraId="398D81E2" w14:textId="77777777" w:rsidR="00333FAA" w:rsidRPr="005E3A10" w:rsidRDefault="00333FAA" w:rsidP="00A53B04">
            <w:pPr>
              <w:rPr>
                <w:rFonts w:ascii="Arial Black" w:hAnsi="Arial Black" w:cs="Arial"/>
                <w:szCs w:val="24"/>
              </w:rPr>
            </w:pPr>
          </w:p>
        </w:tc>
      </w:tr>
      <w:tr w:rsidR="00333FAA" w14:paraId="09E543AA" w14:textId="77777777" w:rsidTr="004C6C48">
        <w:tc>
          <w:tcPr>
            <w:tcW w:w="3456" w:type="dxa"/>
            <w:tcBorders>
              <w:top w:val="single" w:sz="4" w:space="0" w:color="auto"/>
            </w:tcBorders>
          </w:tcPr>
          <w:p w14:paraId="5093DFC4"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3FC4BB4" w14:textId="77777777" w:rsidR="00333FAA" w:rsidRPr="00C13A5F" w:rsidRDefault="00333FAA" w:rsidP="00A53B04">
            <w:pPr>
              <w:pStyle w:val="Infotext"/>
              <w:rPr>
                <w:rFonts w:ascii="Arial Black" w:hAnsi="Arial Black" w:cs="Arial"/>
              </w:rPr>
            </w:pPr>
          </w:p>
        </w:tc>
        <w:tc>
          <w:tcPr>
            <w:tcW w:w="6008" w:type="dxa"/>
            <w:tcBorders>
              <w:top w:val="single" w:sz="4" w:space="0" w:color="auto"/>
            </w:tcBorders>
          </w:tcPr>
          <w:p w14:paraId="10F108A4" w14:textId="6C058188" w:rsidR="00333FAA" w:rsidRPr="00C214FF" w:rsidRDefault="00C214FF" w:rsidP="00A53B04">
            <w:pPr>
              <w:rPr>
                <w:rFonts w:cs="Arial"/>
                <w:szCs w:val="24"/>
                <w:highlight w:val="yellow"/>
              </w:rPr>
            </w:pPr>
            <w:r w:rsidRPr="00C214FF">
              <w:rPr>
                <w:rFonts w:cs="Arial"/>
                <w:szCs w:val="24"/>
              </w:rPr>
              <w:t>15</w:t>
            </w:r>
            <w:r w:rsidRPr="00C214FF">
              <w:rPr>
                <w:rFonts w:cs="Arial"/>
                <w:szCs w:val="24"/>
                <w:vertAlign w:val="superscript"/>
              </w:rPr>
              <w:t>th</w:t>
            </w:r>
            <w:r w:rsidRPr="00C214FF">
              <w:rPr>
                <w:rFonts w:cs="Arial"/>
                <w:szCs w:val="24"/>
              </w:rPr>
              <w:t xml:space="preserve"> July</w:t>
            </w:r>
            <w:r w:rsidR="00176056">
              <w:rPr>
                <w:rFonts w:cs="Arial"/>
                <w:szCs w:val="24"/>
              </w:rPr>
              <w:t xml:space="preserve"> 2021</w:t>
            </w:r>
          </w:p>
        </w:tc>
      </w:tr>
      <w:tr w:rsidR="00333FAA" w14:paraId="41E5B59A" w14:textId="77777777" w:rsidTr="003634DA">
        <w:tc>
          <w:tcPr>
            <w:tcW w:w="3456" w:type="dxa"/>
          </w:tcPr>
          <w:p w14:paraId="3B617A32"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259994CD" w14:textId="77777777" w:rsidR="00333FAA" w:rsidRPr="00C13A5F" w:rsidRDefault="00333FAA" w:rsidP="00A53B04">
            <w:pPr>
              <w:pStyle w:val="Infotext"/>
              <w:rPr>
                <w:rFonts w:ascii="Arial Black" w:hAnsi="Arial Black"/>
              </w:rPr>
            </w:pPr>
          </w:p>
        </w:tc>
        <w:tc>
          <w:tcPr>
            <w:tcW w:w="6008" w:type="dxa"/>
          </w:tcPr>
          <w:p w14:paraId="74EF89BC" w14:textId="315902E7" w:rsidR="00333FAA" w:rsidRDefault="00C214FF" w:rsidP="002E1DF4">
            <w:pPr>
              <w:rPr>
                <w:rFonts w:cs="Arial"/>
                <w:szCs w:val="24"/>
              </w:rPr>
            </w:pPr>
            <w:r>
              <w:rPr>
                <w:rFonts w:cs="Arial"/>
                <w:szCs w:val="24"/>
              </w:rPr>
              <w:t>Treasury Management Annual Report 2020/21</w:t>
            </w:r>
          </w:p>
          <w:p w14:paraId="0FEE3EA3" w14:textId="34928B1C" w:rsidR="00675F21" w:rsidRPr="005E3A10" w:rsidRDefault="00675F21" w:rsidP="002E1DF4">
            <w:pPr>
              <w:rPr>
                <w:rFonts w:cs="Arial"/>
                <w:szCs w:val="24"/>
              </w:rPr>
            </w:pPr>
          </w:p>
        </w:tc>
      </w:tr>
      <w:tr w:rsidR="00333FAA" w14:paraId="408A06A2" w14:textId="77777777" w:rsidTr="003634DA">
        <w:tc>
          <w:tcPr>
            <w:tcW w:w="3456" w:type="dxa"/>
          </w:tcPr>
          <w:p w14:paraId="2474AC3D"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2B006B17" w14:textId="77777777" w:rsidR="00333FAA" w:rsidRPr="00C13A5F" w:rsidRDefault="00333FAA" w:rsidP="00A53B04">
            <w:pPr>
              <w:pStyle w:val="Infotext"/>
              <w:rPr>
                <w:rFonts w:ascii="Arial Black" w:hAnsi="Arial Black" w:cs="Arial"/>
              </w:rPr>
            </w:pPr>
          </w:p>
        </w:tc>
        <w:tc>
          <w:tcPr>
            <w:tcW w:w="6008" w:type="dxa"/>
          </w:tcPr>
          <w:p w14:paraId="4A191D68" w14:textId="5015131D" w:rsidR="00333FAA" w:rsidRPr="005E3A10" w:rsidRDefault="00FC000E" w:rsidP="005641E0">
            <w:pPr>
              <w:pStyle w:val="Infotext"/>
              <w:rPr>
                <w:rFonts w:cs="Arial"/>
                <w:szCs w:val="24"/>
              </w:rPr>
            </w:pPr>
            <w:r>
              <w:rPr>
                <w:rFonts w:cs="Arial"/>
                <w:sz w:val="24"/>
                <w:szCs w:val="24"/>
              </w:rPr>
              <w:t>No</w:t>
            </w:r>
          </w:p>
        </w:tc>
      </w:tr>
      <w:tr w:rsidR="001C7E35" w14:paraId="2D70C3B6" w14:textId="77777777" w:rsidTr="003634DA">
        <w:tc>
          <w:tcPr>
            <w:tcW w:w="3456" w:type="dxa"/>
          </w:tcPr>
          <w:p w14:paraId="0A2D4541"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05C67E46" w14:textId="77777777" w:rsidR="001C7E35" w:rsidRPr="00C13A5F" w:rsidRDefault="001C7E35" w:rsidP="00A53B04">
            <w:pPr>
              <w:pStyle w:val="Infotext"/>
              <w:rPr>
                <w:rFonts w:ascii="Arial Black" w:hAnsi="Arial Black" w:cs="Arial"/>
              </w:rPr>
            </w:pPr>
          </w:p>
        </w:tc>
        <w:tc>
          <w:tcPr>
            <w:tcW w:w="6008" w:type="dxa"/>
          </w:tcPr>
          <w:p w14:paraId="2AE6E4A0" w14:textId="02023FBC" w:rsidR="001C7E35" w:rsidRPr="005E3A10" w:rsidRDefault="005641E0" w:rsidP="00D835CF">
            <w:pPr>
              <w:pStyle w:val="Infotext"/>
              <w:rPr>
                <w:rFonts w:cs="Arial"/>
                <w:sz w:val="24"/>
                <w:szCs w:val="24"/>
              </w:rPr>
            </w:pPr>
            <w:r w:rsidRPr="005641E0">
              <w:rPr>
                <w:rFonts w:cs="Arial"/>
                <w:sz w:val="24"/>
                <w:szCs w:val="24"/>
              </w:rPr>
              <w:t>Dawn Calvert, Director of Finance</w:t>
            </w:r>
            <w:r w:rsidR="00822FA4">
              <w:rPr>
                <w:rFonts w:cs="Arial"/>
                <w:sz w:val="24"/>
                <w:szCs w:val="24"/>
              </w:rPr>
              <w:t xml:space="preserve"> and Assurance</w:t>
            </w:r>
          </w:p>
          <w:p w14:paraId="76DD9381" w14:textId="77777777" w:rsidR="001C7E35" w:rsidRPr="005E3A10" w:rsidRDefault="001C7E35" w:rsidP="00D835CF">
            <w:pPr>
              <w:pStyle w:val="Infotext"/>
              <w:rPr>
                <w:rFonts w:cs="Arial"/>
                <w:sz w:val="24"/>
                <w:szCs w:val="24"/>
              </w:rPr>
            </w:pPr>
          </w:p>
        </w:tc>
      </w:tr>
      <w:tr w:rsidR="001C7E35" w14:paraId="3CC40C92" w14:textId="77777777" w:rsidTr="003634DA">
        <w:tc>
          <w:tcPr>
            <w:tcW w:w="3456" w:type="dxa"/>
          </w:tcPr>
          <w:p w14:paraId="5A10DCBB" w14:textId="77777777" w:rsidR="001C7E35" w:rsidRPr="00DB6C3D" w:rsidRDefault="001C7E35" w:rsidP="003634DA">
            <w:pPr>
              <w:pStyle w:val="Infotext"/>
              <w:jc w:val="both"/>
              <w:rPr>
                <w:rFonts w:ascii="Arial Black" w:hAnsi="Arial Black"/>
              </w:rPr>
            </w:pPr>
            <w:r w:rsidRPr="00DB6C3D">
              <w:rPr>
                <w:rFonts w:ascii="Arial Black" w:hAnsi="Arial Black"/>
              </w:rPr>
              <w:t>Portfolio Holder:</w:t>
            </w:r>
          </w:p>
          <w:p w14:paraId="53F0D3F0" w14:textId="77777777" w:rsidR="001C7E35" w:rsidRPr="00C13A5F" w:rsidRDefault="001C7E35" w:rsidP="003634DA">
            <w:pPr>
              <w:pStyle w:val="BodyText"/>
              <w:jc w:val="both"/>
              <w:rPr>
                <w:rFonts w:ascii="Arial Black" w:hAnsi="Arial Black"/>
              </w:rPr>
            </w:pPr>
          </w:p>
        </w:tc>
        <w:tc>
          <w:tcPr>
            <w:tcW w:w="6008" w:type="dxa"/>
          </w:tcPr>
          <w:p w14:paraId="58FF8E81" w14:textId="7896FDF3" w:rsidR="005641E0" w:rsidRPr="002E1DF4" w:rsidRDefault="005641E0" w:rsidP="003634DA">
            <w:pPr>
              <w:pStyle w:val="Infotext"/>
              <w:jc w:val="both"/>
              <w:rPr>
                <w:rFonts w:cs="Arial"/>
                <w:sz w:val="24"/>
                <w:szCs w:val="24"/>
              </w:rPr>
            </w:pPr>
            <w:r w:rsidRPr="002E1DF4">
              <w:rPr>
                <w:rFonts w:cs="Arial"/>
                <w:sz w:val="24"/>
                <w:szCs w:val="24"/>
              </w:rPr>
              <w:t xml:space="preserve">Councillor </w:t>
            </w:r>
            <w:r w:rsidR="00566F47">
              <w:rPr>
                <w:rFonts w:cs="Arial"/>
                <w:sz w:val="24"/>
                <w:szCs w:val="24"/>
              </w:rPr>
              <w:t>Natasha Proctor</w:t>
            </w:r>
            <w:r w:rsidRPr="002E1DF4">
              <w:rPr>
                <w:rFonts w:cs="Arial"/>
                <w:sz w:val="24"/>
                <w:szCs w:val="24"/>
              </w:rPr>
              <w:t xml:space="preserve">, </w:t>
            </w:r>
            <w:r w:rsidR="00566F47">
              <w:rPr>
                <w:rFonts w:cs="Arial"/>
                <w:sz w:val="24"/>
                <w:szCs w:val="24"/>
              </w:rPr>
              <w:t xml:space="preserve">Deputy Leader and </w:t>
            </w:r>
            <w:r w:rsidRPr="002E1DF4">
              <w:rPr>
                <w:rFonts w:cs="Arial"/>
                <w:sz w:val="24"/>
                <w:szCs w:val="24"/>
              </w:rPr>
              <w:t>Portfolio Holder for Finance and Resources</w:t>
            </w:r>
            <w:r w:rsidR="00DE67B7">
              <w:rPr>
                <w:rFonts w:cs="Arial"/>
                <w:sz w:val="24"/>
                <w:szCs w:val="24"/>
              </w:rPr>
              <w:t>.</w:t>
            </w:r>
          </w:p>
          <w:p w14:paraId="5F0ACF6A" w14:textId="2E23C4BD" w:rsidR="001C7E35" w:rsidRPr="005E3A10" w:rsidRDefault="001C7E35" w:rsidP="003634DA">
            <w:pPr>
              <w:pStyle w:val="Infotext"/>
              <w:jc w:val="both"/>
              <w:rPr>
                <w:rFonts w:cs="Arial"/>
                <w:color w:val="FF0000"/>
                <w:sz w:val="24"/>
                <w:szCs w:val="24"/>
              </w:rPr>
            </w:pPr>
          </w:p>
        </w:tc>
      </w:tr>
      <w:tr w:rsidR="001C7E35" w14:paraId="15CDEAEB" w14:textId="77777777" w:rsidTr="003634DA">
        <w:tc>
          <w:tcPr>
            <w:tcW w:w="3456" w:type="dxa"/>
          </w:tcPr>
          <w:p w14:paraId="48230891" w14:textId="77777777" w:rsidR="001C7E35" w:rsidRPr="00DB6C3D" w:rsidRDefault="001C7E35" w:rsidP="003634DA">
            <w:pPr>
              <w:pStyle w:val="Infotext"/>
              <w:jc w:val="both"/>
              <w:rPr>
                <w:rFonts w:ascii="Arial Black" w:hAnsi="Arial Black"/>
              </w:rPr>
            </w:pPr>
            <w:r w:rsidRPr="00DB6C3D">
              <w:rPr>
                <w:rFonts w:ascii="Arial Black" w:hAnsi="Arial Black"/>
              </w:rPr>
              <w:t>Exempt:</w:t>
            </w:r>
          </w:p>
          <w:p w14:paraId="030C801E" w14:textId="77777777" w:rsidR="001C7E35" w:rsidRPr="00C13A5F" w:rsidRDefault="001C7E35" w:rsidP="003634DA">
            <w:pPr>
              <w:pStyle w:val="BodyText"/>
              <w:jc w:val="both"/>
              <w:rPr>
                <w:rFonts w:ascii="Arial Black" w:hAnsi="Arial Black"/>
              </w:rPr>
            </w:pPr>
          </w:p>
        </w:tc>
        <w:tc>
          <w:tcPr>
            <w:tcW w:w="6008" w:type="dxa"/>
          </w:tcPr>
          <w:p w14:paraId="1A3F9F45" w14:textId="3ED12851" w:rsidR="001C7E35" w:rsidRPr="00176056" w:rsidRDefault="001C7E35" w:rsidP="00C607DA">
            <w:pPr>
              <w:pStyle w:val="Infotext"/>
              <w:jc w:val="both"/>
              <w:rPr>
                <w:rFonts w:cs="Arial"/>
                <w:color w:val="FF0000"/>
                <w:sz w:val="24"/>
                <w:szCs w:val="24"/>
              </w:rPr>
            </w:pPr>
            <w:r w:rsidRPr="008A1A78">
              <w:rPr>
                <w:rFonts w:cs="Arial"/>
                <w:sz w:val="24"/>
                <w:szCs w:val="24"/>
              </w:rPr>
              <w:t>No</w:t>
            </w:r>
          </w:p>
        </w:tc>
      </w:tr>
      <w:tr w:rsidR="001C7E35" w14:paraId="08EA475F" w14:textId="77777777" w:rsidTr="003634DA">
        <w:tc>
          <w:tcPr>
            <w:tcW w:w="3456" w:type="dxa"/>
          </w:tcPr>
          <w:p w14:paraId="17B9EC7A" w14:textId="77777777" w:rsidR="001C7E35" w:rsidRPr="00DB6C3D" w:rsidRDefault="001C7E35" w:rsidP="003634DA">
            <w:pPr>
              <w:pStyle w:val="Infotext"/>
              <w:jc w:val="both"/>
              <w:rPr>
                <w:rFonts w:ascii="Arial Black" w:hAnsi="Arial Black"/>
              </w:rPr>
            </w:pPr>
            <w:r w:rsidRPr="00DB6C3D">
              <w:rPr>
                <w:rFonts w:ascii="Arial Black" w:hAnsi="Arial Black"/>
              </w:rPr>
              <w:t>Decision subject to Call-in:</w:t>
            </w:r>
          </w:p>
          <w:p w14:paraId="52B1B326" w14:textId="77777777" w:rsidR="001C7E35" w:rsidRPr="00C13A5F" w:rsidRDefault="001C7E35" w:rsidP="003634DA">
            <w:pPr>
              <w:pStyle w:val="BodyText"/>
              <w:jc w:val="both"/>
              <w:rPr>
                <w:rFonts w:ascii="Arial Black" w:hAnsi="Arial Black"/>
              </w:rPr>
            </w:pPr>
          </w:p>
        </w:tc>
        <w:tc>
          <w:tcPr>
            <w:tcW w:w="6008" w:type="dxa"/>
          </w:tcPr>
          <w:p w14:paraId="0632A6CE" w14:textId="2B6DE60C" w:rsidR="005641E0" w:rsidRPr="005E3A10" w:rsidRDefault="00176056" w:rsidP="003634DA">
            <w:pPr>
              <w:pStyle w:val="Infotext"/>
              <w:jc w:val="both"/>
              <w:rPr>
                <w:rFonts w:cs="Arial"/>
                <w:szCs w:val="24"/>
              </w:rPr>
            </w:pPr>
            <w:r w:rsidRPr="008A1A78">
              <w:rPr>
                <w:rFonts w:cs="Arial"/>
                <w:sz w:val="24"/>
                <w:szCs w:val="24"/>
              </w:rPr>
              <w:t>No</w:t>
            </w:r>
            <w:r w:rsidR="001C7E35" w:rsidRPr="005E3A10">
              <w:rPr>
                <w:rFonts w:cs="Arial"/>
                <w:sz w:val="24"/>
                <w:szCs w:val="24"/>
              </w:rPr>
              <w:t xml:space="preserve"> </w:t>
            </w:r>
          </w:p>
          <w:p w14:paraId="0BE5C604" w14:textId="77777777" w:rsidR="00714BEE" w:rsidRPr="005E3A10" w:rsidRDefault="00714BEE" w:rsidP="003634DA">
            <w:pPr>
              <w:jc w:val="both"/>
              <w:rPr>
                <w:rFonts w:cs="Arial"/>
                <w:szCs w:val="24"/>
              </w:rPr>
            </w:pPr>
          </w:p>
        </w:tc>
      </w:tr>
      <w:tr w:rsidR="001C7E35" w14:paraId="0F8EADD0" w14:textId="77777777" w:rsidTr="003634DA">
        <w:tc>
          <w:tcPr>
            <w:tcW w:w="3456" w:type="dxa"/>
          </w:tcPr>
          <w:p w14:paraId="1EC0B8AB" w14:textId="77777777" w:rsidR="001C7E35" w:rsidRDefault="001C7E35" w:rsidP="003634DA">
            <w:pPr>
              <w:pStyle w:val="Infotext"/>
              <w:jc w:val="both"/>
              <w:rPr>
                <w:rFonts w:ascii="Arial Black" w:hAnsi="Arial Black" w:cs="Arial"/>
              </w:rPr>
            </w:pPr>
            <w:r>
              <w:rPr>
                <w:rFonts w:ascii="Arial Black" w:hAnsi="Arial Black" w:cs="Arial"/>
              </w:rPr>
              <w:t>Wards affected:</w:t>
            </w:r>
          </w:p>
          <w:p w14:paraId="62793197" w14:textId="77777777" w:rsidR="001C7E35" w:rsidRPr="00C13A5F" w:rsidRDefault="001C7E35" w:rsidP="003634DA">
            <w:pPr>
              <w:pStyle w:val="Infotext"/>
              <w:jc w:val="both"/>
              <w:rPr>
                <w:rFonts w:ascii="Arial Black" w:hAnsi="Arial Black" w:cs="Arial"/>
              </w:rPr>
            </w:pPr>
          </w:p>
        </w:tc>
        <w:tc>
          <w:tcPr>
            <w:tcW w:w="6008" w:type="dxa"/>
          </w:tcPr>
          <w:p w14:paraId="5E7053E8" w14:textId="77777777" w:rsidR="005641E0" w:rsidRPr="00307F76" w:rsidRDefault="005641E0" w:rsidP="003634DA">
            <w:pPr>
              <w:jc w:val="both"/>
              <w:rPr>
                <w:rFonts w:cs="Arial"/>
                <w:b/>
                <w:color w:val="FF0000"/>
                <w:szCs w:val="24"/>
              </w:rPr>
            </w:pPr>
            <w:r>
              <w:rPr>
                <w:rFonts w:cs="Arial"/>
                <w:szCs w:val="24"/>
              </w:rPr>
              <w:t>All</w:t>
            </w:r>
            <w:r w:rsidR="00F370E5">
              <w:rPr>
                <w:rFonts w:cs="Arial"/>
                <w:szCs w:val="24"/>
              </w:rPr>
              <w:t xml:space="preserve"> wards</w:t>
            </w:r>
          </w:p>
          <w:p w14:paraId="164FD442" w14:textId="77777777" w:rsidR="00307F76" w:rsidRPr="00307F76" w:rsidRDefault="00307F76" w:rsidP="003634DA">
            <w:pPr>
              <w:jc w:val="both"/>
              <w:rPr>
                <w:rFonts w:cs="Arial"/>
                <w:b/>
                <w:color w:val="FF0000"/>
                <w:szCs w:val="24"/>
              </w:rPr>
            </w:pPr>
          </w:p>
        </w:tc>
      </w:tr>
      <w:tr w:rsidR="001C7E35" w:rsidRPr="00CE48E2" w14:paraId="19A099B8" w14:textId="77777777" w:rsidTr="003634DA">
        <w:tc>
          <w:tcPr>
            <w:tcW w:w="3456" w:type="dxa"/>
          </w:tcPr>
          <w:p w14:paraId="6FAEC320" w14:textId="77777777" w:rsidR="001C7E35" w:rsidRPr="00C13A5F" w:rsidRDefault="001C7E35" w:rsidP="003634DA">
            <w:pPr>
              <w:pStyle w:val="Infotext"/>
              <w:jc w:val="both"/>
              <w:rPr>
                <w:rFonts w:ascii="Arial Black" w:hAnsi="Arial Black" w:cs="Arial"/>
              </w:rPr>
            </w:pPr>
            <w:r w:rsidRPr="00C13A5F">
              <w:rPr>
                <w:rFonts w:ascii="Arial Black" w:hAnsi="Arial Black" w:cs="Arial"/>
              </w:rPr>
              <w:t>Enclosures:</w:t>
            </w:r>
          </w:p>
          <w:p w14:paraId="412E9ECE" w14:textId="77777777" w:rsidR="001C7E35" w:rsidRDefault="001C7E35" w:rsidP="003634DA">
            <w:pPr>
              <w:pStyle w:val="Infotext"/>
              <w:jc w:val="both"/>
              <w:rPr>
                <w:rFonts w:ascii="Arial Black" w:hAnsi="Arial Black" w:cs="Arial"/>
              </w:rPr>
            </w:pPr>
          </w:p>
          <w:p w14:paraId="70E0ACCB" w14:textId="77777777" w:rsidR="00C214FF" w:rsidRDefault="00C214FF" w:rsidP="003634DA">
            <w:pPr>
              <w:pStyle w:val="Infotext"/>
              <w:jc w:val="both"/>
              <w:rPr>
                <w:rFonts w:ascii="Arial Black" w:hAnsi="Arial Black" w:cs="Arial"/>
              </w:rPr>
            </w:pPr>
          </w:p>
          <w:p w14:paraId="3E72F014" w14:textId="77777777" w:rsidR="00C214FF" w:rsidRDefault="00C214FF" w:rsidP="003634DA">
            <w:pPr>
              <w:pStyle w:val="Infotext"/>
              <w:jc w:val="both"/>
              <w:rPr>
                <w:rFonts w:ascii="Arial Black" w:hAnsi="Arial Black" w:cs="Arial"/>
              </w:rPr>
            </w:pPr>
          </w:p>
          <w:p w14:paraId="3BB0F6EA" w14:textId="77777777" w:rsidR="00C214FF" w:rsidRDefault="00C214FF" w:rsidP="003634DA">
            <w:pPr>
              <w:pStyle w:val="Infotext"/>
              <w:jc w:val="both"/>
              <w:rPr>
                <w:rFonts w:ascii="Arial Black" w:hAnsi="Arial Black" w:cs="Arial"/>
              </w:rPr>
            </w:pPr>
          </w:p>
          <w:p w14:paraId="25A70118" w14:textId="77777777" w:rsidR="00C214FF" w:rsidRDefault="00C214FF" w:rsidP="003634DA">
            <w:pPr>
              <w:pStyle w:val="Infotext"/>
              <w:jc w:val="both"/>
              <w:rPr>
                <w:rFonts w:ascii="Arial Black" w:hAnsi="Arial Black" w:cs="Arial"/>
              </w:rPr>
            </w:pPr>
          </w:p>
          <w:p w14:paraId="76EDEBC8" w14:textId="77777777" w:rsidR="00C214FF" w:rsidRDefault="00C214FF" w:rsidP="003634DA">
            <w:pPr>
              <w:pStyle w:val="Infotext"/>
              <w:jc w:val="both"/>
              <w:rPr>
                <w:rFonts w:ascii="Arial Black" w:hAnsi="Arial Black" w:cs="Arial"/>
              </w:rPr>
            </w:pPr>
          </w:p>
          <w:p w14:paraId="33D887D9" w14:textId="77777777" w:rsidR="00C214FF" w:rsidRDefault="00C214FF" w:rsidP="003634DA">
            <w:pPr>
              <w:pStyle w:val="Infotext"/>
              <w:jc w:val="both"/>
              <w:rPr>
                <w:rFonts w:ascii="Arial Black" w:hAnsi="Arial Black" w:cs="Arial"/>
              </w:rPr>
            </w:pPr>
          </w:p>
          <w:p w14:paraId="7CBF05A2" w14:textId="77777777" w:rsidR="00C214FF" w:rsidRDefault="00C214FF" w:rsidP="003634DA">
            <w:pPr>
              <w:pStyle w:val="Infotext"/>
              <w:jc w:val="both"/>
              <w:rPr>
                <w:rFonts w:ascii="Arial Black" w:hAnsi="Arial Black" w:cs="Arial"/>
              </w:rPr>
            </w:pPr>
          </w:p>
          <w:p w14:paraId="31939C7F" w14:textId="77777777" w:rsidR="00C214FF" w:rsidRDefault="00C214FF" w:rsidP="003634DA">
            <w:pPr>
              <w:pStyle w:val="Infotext"/>
              <w:jc w:val="both"/>
              <w:rPr>
                <w:rFonts w:ascii="Arial Black" w:hAnsi="Arial Black" w:cs="Arial"/>
              </w:rPr>
            </w:pPr>
          </w:p>
          <w:p w14:paraId="78984B85" w14:textId="77777777" w:rsidR="00C214FF" w:rsidRDefault="00C214FF" w:rsidP="003634DA">
            <w:pPr>
              <w:pStyle w:val="Infotext"/>
              <w:jc w:val="both"/>
              <w:rPr>
                <w:rFonts w:ascii="Arial Black" w:hAnsi="Arial Black" w:cs="Arial"/>
              </w:rPr>
            </w:pPr>
          </w:p>
          <w:p w14:paraId="6CCA7F95" w14:textId="77777777" w:rsidR="00C214FF" w:rsidRDefault="00C214FF" w:rsidP="003634DA">
            <w:pPr>
              <w:pStyle w:val="Infotext"/>
              <w:jc w:val="both"/>
              <w:rPr>
                <w:rFonts w:ascii="Arial Black" w:hAnsi="Arial Black" w:cs="Arial"/>
              </w:rPr>
            </w:pPr>
          </w:p>
          <w:p w14:paraId="1E80962B" w14:textId="059629B4" w:rsidR="00C214FF" w:rsidRPr="00C13A5F" w:rsidRDefault="00C214FF" w:rsidP="003634DA">
            <w:pPr>
              <w:pStyle w:val="Infotext"/>
              <w:jc w:val="both"/>
              <w:rPr>
                <w:rFonts w:ascii="Arial Black" w:hAnsi="Arial Black" w:cs="Arial"/>
              </w:rPr>
            </w:pPr>
          </w:p>
        </w:tc>
        <w:tc>
          <w:tcPr>
            <w:tcW w:w="6008" w:type="dxa"/>
          </w:tcPr>
          <w:p w14:paraId="7FC20EA1" w14:textId="42FD7AE4" w:rsidR="00675F21" w:rsidRPr="008A1A78" w:rsidRDefault="00F370E5" w:rsidP="00C214FF">
            <w:pPr>
              <w:rPr>
                <w:rFonts w:cs="Arial"/>
                <w:color w:val="000000" w:themeColor="text1"/>
              </w:rPr>
            </w:pPr>
            <w:r w:rsidRPr="008A1A78">
              <w:rPr>
                <w:rFonts w:cs="Arial"/>
                <w:color w:val="000000" w:themeColor="text1"/>
              </w:rPr>
              <w:t>Appendix</w:t>
            </w:r>
            <w:r w:rsidR="002145D1" w:rsidRPr="008A1A78">
              <w:rPr>
                <w:rFonts w:cs="Arial"/>
                <w:color w:val="000000" w:themeColor="text1"/>
              </w:rPr>
              <w:t xml:space="preserve"> 1</w:t>
            </w:r>
            <w:r w:rsidR="00AB317E" w:rsidRPr="008A1A78">
              <w:rPr>
                <w:rFonts w:cs="Arial"/>
                <w:color w:val="000000" w:themeColor="text1"/>
              </w:rPr>
              <w:t xml:space="preserve"> Link Group Economic Commentary</w:t>
            </w:r>
          </w:p>
          <w:p w14:paraId="0852B818" w14:textId="77777777" w:rsidR="00AB317E" w:rsidRPr="008A1A78" w:rsidRDefault="00AB317E" w:rsidP="00AB317E">
            <w:pPr>
              <w:rPr>
                <w:rFonts w:cs="Arial"/>
                <w:color w:val="000000" w:themeColor="text1"/>
              </w:rPr>
            </w:pPr>
            <w:r w:rsidRPr="008A1A78">
              <w:rPr>
                <w:rFonts w:cs="Arial"/>
                <w:color w:val="000000" w:themeColor="text1"/>
              </w:rPr>
              <w:t>Appendix 2 Borrowing and Investment Rate Summary 2020/21</w:t>
            </w:r>
          </w:p>
          <w:p w14:paraId="45772EFF" w14:textId="77777777" w:rsidR="00AB317E" w:rsidRPr="002145D1" w:rsidRDefault="00AB317E" w:rsidP="00C214FF">
            <w:pPr>
              <w:rPr>
                <w:rFonts w:cs="Arial"/>
                <w:color w:val="000000" w:themeColor="text1"/>
                <w:szCs w:val="24"/>
              </w:rPr>
            </w:pPr>
          </w:p>
          <w:p w14:paraId="011D4B19" w14:textId="5BD69C0D" w:rsidR="00FF4B18" w:rsidRPr="00E54898" w:rsidRDefault="00FF4B18" w:rsidP="003634DA">
            <w:pPr>
              <w:pStyle w:val="Infotext"/>
              <w:jc w:val="both"/>
              <w:rPr>
                <w:rFonts w:cs="Arial"/>
                <w:color w:val="FF0000"/>
                <w:sz w:val="24"/>
                <w:szCs w:val="24"/>
              </w:rPr>
            </w:pPr>
          </w:p>
          <w:p w14:paraId="532D91BD" w14:textId="163CDDFF" w:rsidR="00FF4B18" w:rsidRPr="00E54898" w:rsidRDefault="00FF4B18" w:rsidP="003634DA">
            <w:pPr>
              <w:pStyle w:val="Infotext"/>
              <w:jc w:val="both"/>
              <w:rPr>
                <w:rFonts w:cs="Arial"/>
                <w:color w:val="FF0000"/>
                <w:sz w:val="24"/>
                <w:szCs w:val="24"/>
              </w:rPr>
            </w:pPr>
          </w:p>
          <w:p w14:paraId="381D4D6A" w14:textId="572FA3D0" w:rsidR="00FF4B18" w:rsidRPr="00E54898" w:rsidRDefault="00FF4B18" w:rsidP="003634DA">
            <w:pPr>
              <w:pStyle w:val="Infotext"/>
              <w:jc w:val="both"/>
              <w:rPr>
                <w:rFonts w:cs="Arial"/>
                <w:color w:val="FF0000"/>
                <w:sz w:val="24"/>
                <w:szCs w:val="24"/>
              </w:rPr>
            </w:pPr>
          </w:p>
          <w:p w14:paraId="59AC4744" w14:textId="470C4B91" w:rsidR="00FF4B18" w:rsidRDefault="00FF4B18" w:rsidP="003634DA">
            <w:pPr>
              <w:pStyle w:val="Infotext"/>
              <w:jc w:val="both"/>
              <w:rPr>
                <w:rFonts w:cs="Arial"/>
                <w:color w:val="FF0000"/>
                <w:sz w:val="24"/>
                <w:szCs w:val="24"/>
              </w:rPr>
            </w:pPr>
          </w:p>
          <w:p w14:paraId="3DBBCDD2" w14:textId="77777777" w:rsidR="00854BE1" w:rsidRDefault="00854BE1" w:rsidP="003634DA">
            <w:pPr>
              <w:pStyle w:val="Infotext"/>
              <w:jc w:val="both"/>
              <w:rPr>
                <w:rFonts w:cs="Arial"/>
                <w:color w:val="FF0000"/>
                <w:sz w:val="24"/>
                <w:szCs w:val="24"/>
              </w:rPr>
            </w:pPr>
          </w:p>
          <w:p w14:paraId="6D52E4A5" w14:textId="2A25380F" w:rsidR="00537469" w:rsidRDefault="00537469" w:rsidP="003634DA">
            <w:pPr>
              <w:pStyle w:val="Infotext"/>
              <w:jc w:val="both"/>
              <w:rPr>
                <w:rFonts w:cs="Arial"/>
                <w:color w:val="FF0000"/>
                <w:sz w:val="24"/>
                <w:szCs w:val="24"/>
              </w:rPr>
            </w:pPr>
          </w:p>
          <w:p w14:paraId="70E45CFB" w14:textId="03CFF89B" w:rsidR="00825082" w:rsidRDefault="00825082" w:rsidP="003634DA">
            <w:pPr>
              <w:pStyle w:val="Infotext"/>
              <w:jc w:val="both"/>
              <w:rPr>
                <w:rFonts w:cs="Arial"/>
                <w:color w:val="FF0000"/>
                <w:sz w:val="24"/>
                <w:szCs w:val="24"/>
              </w:rPr>
            </w:pPr>
          </w:p>
          <w:p w14:paraId="5C8109AE" w14:textId="77777777" w:rsidR="00825082" w:rsidRPr="00E54898" w:rsidRDefault="00825082" w:rsidP="003634DA">
            <w:pPr>
              <w:pStyle w:val="Infotext"/>
              <w:jc w:val="both"/>
              <w:rPr>
                <w:rFonts w:cs="Arial"/>
                <w:color w:val="FF0000"/>
                <w:sz w:val="24"/>
                <w:szCs w:val="24"/>
              </w:rPr>
            </w:pPr>
          </w:p>
          <w:p w14:paraId="7062FEE3" w14:textId="77777777" w:rsidR="00FF4B18" w:rsidRPr="00E54898" w:rsidRDefault="00FF4B18" w:rsidP="003634DA">
            <w:pPr>
              <w:pStyle w:val="Infotext"/>
              <w:jc w:val="both"/>
              <w:rPr>
                <w:rFonts w:cs="Arial"/>
                <w:color w:val="FF0000"/>
                <w:sz w:val="24"/>
                <w:szCs w:val="24"/>
              </w:rPr>
            </w:pPr>
          </w:p>
          <w:p w14:paraId="02CD0B38" w14:textId="77777777" w:rsidR="00381A1C" w:rsidRPr="00E54898" w:rsidRDefault="00381A1C" w:rsidP="003634DA">
            <w:pPr>
              <w:pStyle w:val="Infotext"/>
              <w:jc w:val="both"/>
              <w:rPr>
                <w:rFonts w:cs="Arial"/>
                <w:color w:val="FF0000"/>
                <w:sz w:val="24"/>
                <w:szCs w:val="24"/>
              </w:rPr>
            </w:pPr>
          </w:p>
          <w:p w14:paraId="58B457FE" w14:textId="77777777" w:rsidR="001C7E35" w:rsidRPr="00E54898" w:rsidRDefault="001C7E35" w:rsidP="003634DA">
            <w:pPr>
              <w:pStyle w:val="Infotext"/>
              <w:jc w:val="both"/>
              <w:rPr>
                <w:color w:val="FF0000"/>
                <w:sz w:val="24"/>
                <w:szCs w:val="24"/>
              </w:rPr>
            </w:pPr>
          </w:p>
        </w:tc>
      </w:tr>
      <w:tr w:rsidR="00333FAA" w14:paraId="2AD700D9" w14:textId="77777777" w:rsidTr="00A94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tcBorders>
              <w:top w:val="nil"/>
              <w:left w:val="nil"/>
              <w:right w:val="nil"/>
            </w:tcBorders>
          </w:tcPr>
          <w:p w14:paraId="4E6A3993" w14:textId="77777777" w:rsidR="00333FAA" w:rsidRDefault="00333FAA" w:rsidP="003634DA">
            <w:pPr>
              <w:pStyle w:val="Heading1"/>
              <w:jc w:val="both"/>
            </w:pPr>
            <w:r>
              <w:lastRenderedPageBreak/>
              <w:t>Section 1 – Summary and Recommendations</w:t>
            </w:r>
          </w:p>
          <w:p w14:paraId="5C2FA4ED" w14:textId="77777777" w:rsidR="00333FAA" w:rsidRDefault="00333FAA" w:rsidP="003634DA">
            <w:pPr>
              <w:jc w:val="both"/>
            </w:pPr>
          </w:p>
        </w:tc>
      </w:tr>
      <w:tr w:rsidR="00333FAA" w:rsidRPr="00290F2F" w14:paraId="1FB28782" w14:textId="77777777" w:rsidTr="00A94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tcPr>
          <w:p w14:paraId="15485C20" w14:textId="60F06C04" w:rsidR="00315406" w:rsidRPr="00290F2F" w:rsidRDefault="00315406" w:rsidP="003634DA">
            <w:pPr>
              <w:pStyle w:val="ListParagraph"/>
              <w:jc w:val="both"/>
              <w:rPr>
                <w:color w:val="FF0000"/>
              </w:rPr>
            </w:pPr>
          </w:p>
          <w:p w14:paraId="11A38A1B" w14:textId="77777777" w:rsidR="00A94722" w:rsidRPr="00C102C7" w:rsidRDefault="00A94722" w:rsidP="00A94722">
            <w:pPr>
              <w:jc w:val="both"/>
              <w:rPr>
                <w:bCs/>
              </w:rPr>
            </w:pPr>
            <w:r>
              <w:t xml:space="preserve">This </w:t>
            </w:r>
            <w:r w:rsidRPr="007E2266">
              <w:t>report sets out the</w:t>
            </w:r>
            <w:r>
              <w:t xml:space="preserve"> Treasury Management Outturn position for 2020/21</w:t>
            </w:r>
            <w:r w:rsidRPr="00C102C7">
              <w:rPr>
                <w:bCs/>
              </w:rPr>
              <w:t xml:space="preserve">. </w:t>
            </w:r>
          </w:p>
          <w:p w14:paraId="49F5E268" w14:textId="77777777" w:rsidR="00A94722" w:rsidRPr="00F340D5" w:rsidRDefault="00A94722" w:rsidP="00A94722">
            <w:pPr>
              <w:pStyle w:val="Heading3"/>
              <w:spacing w:before="240"/>
              <w:rPr>
                <w:i w:val="0"/>
                <w:iCs/>
              </w:rPr>
            </w:pPr>
            <w:r w:rsidRPr="00F340D5">
              <w:rPr>
                <w:i w:val="0"/>
                <w:iCs/>
              </w:rPr>
              <w:t xml:space="preserve">Recommendations: </w:t>
            </w:r>
          </w:p>
          <w:p w14:paraId="78FB9D40" w14:textId="77777777" w:rsidR="00A94722" w:rsidRDefault="00A94722" w:rsidP="00A94722">
            <w:r>
              <w:t>Cabinet is requested to:</w:t>
            </w:r>
          </w:p>
          <w:p w14:paraId="67CC888C" w14:textId="77777777" w:rsidR="00A94722" w:rsidRDefault="00A94722" w:rsidP="00A94722"/>
          <w:p w14:paraId="2C9F5D12" w14:textId="52552098" w:rsidR="00A94722" w:rsidRDefault="00A94722" w:rsidP="00A94722">
            <w:pPr>
              <w:pStyle w:val="ListParagraph"/>
              <w:numPr>
                <w:ilvl w:val="0"/>
                <w:numId w:val="39"/>
              </w:numPr>
            </w:pPr>
            <w:r>
              <w:t>N</w:t>
            </w:r>
            <w:r w:rsidRPr="00E41F8A">
              <w:t>ote</w:t>
            </w:r>
            <w:r>
              <w:t xml:space="preserve"> the</w:t>
            </w:r>
            <w:r w:rsidRPr="00E41F8A">
              <w:t xml:space="preserve"> </w:t>
            </w:r>
            <w:r>
              <w:t>Treasury Management</w:t>
            </w:r>
            <w:r w:rsidRPr="00E41F8A">
              <w:t xml:space="preserve"> outturn </w:t>
            </w:r>
            <w:r>
              <w:t>position for 2020/21.</w:t>
            </w:r>
          </w:p>
          <w:p w14:paraId="78C238D4" w14:textId="77777777" w:rsidR="00A94722" w:rsidRDefault="00A94722" w:rsidP="00A94722">
            <w:pPr>
              <w:pStyle w:val="ListParagraph"/>
            </w:pPr>
          </w:p>
          <w:p w14:paraId="4E0B0D2F" w14:textId="26D055E4" w:rsidR="00A94722" w:rsidRDefault="00A94722" w:rsidP="00A94722">
            <w:pPr>
              <w:pStyle w:val="ListParagraph"/>
              <w:numPr>
                <w:ilvl w:val="0"/>
                <w:numId w:val="39"/>
              </w:numPr>
            </w:pPr>
            <w:r>
              <w:t>R</w:t>
            </w:r>
            <w:r w:rsidRPr="008A1A78">
              <w:t>efer this report to the Governance, Audit, Risk Management and Standards Committee for review.</w:t>
            </w:r>
          </w:p>
          <w:p w14:paraId="19059AC5" w14:textId="77777777" w:rsidR="00A94722" w:rsidRDefault="00A94722" w:rsidP="00A94722"/>
          <w:p w14:paraId="070F311D" w14:textId="77777777" w:rsidR="00A94722" w:rsidRDefault="00A94722" w:rsidP="00A94722">
            <w:pPr>
              <w:pStyle w:val="Heading3"/>
              <w:ind w:left="0" w:firstLine="0"/>
              <w:jc w:val="left"/>
            </w:pPr>
            <w:r w:rsidRPr="00F340D5">
              <w:rPr>
                <w:i w:val="0"/>
                <w:iCs/>
              </w:rPr>
              <w:t>Reason:  (for recommendations)</w:t>
            </w:r>
            <w:r>
              <w:t xml:space="preserve">  </w:t>
            </w:r>
          </w:p>
          <w:p w14:paraId="6CDBEC31" w14:textId="77777777" w:rsidR="00A94722" w:rsidRPr="00F340D5" w:rsidRDefault="00A94722" w:rsidP="00A94722"/>
          <w:p w14:paraId="4C00F8A7" w14:textId="77777777" w:rsidR="00A94722" w:rsidRDefault="00A94722" w:rsidP="00A94722">
            <w:pPr>
              <w:numPr>
                <w:ilvl w:val="0"/>
                <w:numId w:val="40"/>
              </w:numPr>
              <w:jc w:val="both"/>
            </w:pPr>
            <w:r w:rsidRPr="00C214FF">
              <w:t>To promote effective financial management and comply with</w:t>
            </w:r>
            <w:r>
              <w:t xml:space="preserve"> regulations issued under the </w:t>
            </w:r>
            <w:proofErr w:type="spellStart"/>
            <w:r>
              <w:t>the</w:t>
            </w:r>
            <w:proofErr w:type="spellEnd"/>
            <w:r>
              <w:t xml:space="preserve"> Local Government Act 2003, the CIPFA Code of Practice on Treasury Management, and the CIPFA Prudential Code for Capital Finance, </w:t>
            </w:r>
            <w:r w:rsidRPr="00C214FF">
              <w:t xml:space="preserve"> </w:t>
            </w:r>
            <w:r>
              <w:t>along with meeting the requirements of</w:t>
            </w:r>
            <w:r w:rsidRPr="00C214FF">
              <w:t xml:space="preserve"> the Council’s Financial Regulations.</w:t>
            </w:r>
          </w:p>
          <w:p w14:paraId="5C500B63" w14:textId="77777777" w:rsidR="00A94722" w:rsidRDefault="00A94722" w:rsidP="00A94722">
            <w:pPr>
              <w:ind w:left="720"/>
              <w:jc w:val="both"/>
            </w:pPr>
          </w:p>
          <w:p w14:paraId="05D1C450" w14:textId="77777777" w:rsidR="00A94722" w:rsidRPr="00F340D5" w:rsidRDefault="00A94722" w:rsidP="00A94722">
            <w:pPr>
              <w:numPr>
                <w:ilvl w:val="0"/>
                <w:numId w:val="40"/>
              </w:numPr>
              <w:jc w:val="both"/>
            </w:pPr>
            <w:r w:rsidRPr="00C214FF">
              <w:t>To keep Members informed of Treasury Management activities and performance</w:t>
            </w:r>
            <w:r>
              <w:t xml:space="preserve"> for 2020/21</w:t>
            </w:r>
            <w:r w:rsidRPr="00C214FF">
              <w:t>.</w:t>
            </w:r>
          </w:p>
          <w:p w14:paraId="1D534CB5" w14:textId="3A8A2ACA" w:rsidR="00205828" w:rsidRPr="00C214FF" w:rsidRDefault="00205828" w:rsidP="00205828">
            <w:pPr>
              <w:ind w:left="720"/>
              <w:jc w:val="both"/>
            </w:pPr>
          </w:p>
        </w:tc>
      </w:tr>
    </w:tbl>
    <w:p w14:paraId="1F2B0944" w14:textId="77777777" w:rsidR="008940FC" w:rsidRPr="00290F2F" w:rsidRDefault="008940FC" w:rsidP="003634DA">
      <w:pPr>
        <w:pStyle w:val="Heading1"/>
        <w:jc w:val="both"/>
        <w:rPr>
          <w:color w:val="FF0000"/>
        </w:rPr>
      </w:pPr>
    </w:p>
    <w:p w14:paraId="3C326E6C" w14:textId="77777777" w:rsidR="00333FAA" w:rsidRPr="00290F2F" w:rsidRDefault="00333FAA" w:rsidP="003634DA">
      <w:pPr>
        <w:pStyle w:val="Heading1"/>
        <w:jc w:val="both"/>
      </w:pPr>
      <w:r w:rsidRPr="00290F2F">
        <w:t>Section 2 – Report</w:t>
      </w:r>
    </w:p>
    <w:p w14:paraId="75C2F062" w14:textId="2E3214F1" w:rsidR="005641E0" w:rsidRDefault="005641E0" w:rsidP="00DB648D">
      <w:pPr>
        <w:jc w:val="both"/>
        <w:rPr>
          <w:rFonts w:cs="Arial"/>
          <w:szCs w:val="24"/>
        </w:rPr>
      </w:pPr>
    </w:p>
    <w:p w14:paraId="525A31F3" w14:textId="77777777" w:rsidR="00C10137" w:rsidRPr="00290F2F" w:rsidRDefault="00C10137" w:rsidP="00DB648D">
      <w:pPr>
        <w:jc w:val="both"/>
        <w:rPr>
          <w:rFonts w:cs="Arial"/>
          <w:szCs w:val="24"/>
        </w:rPr>
      </w:pPr>
    </w:p>
    <w:p w14:paraId="528CE6EC" w14:textId="48A59590" w:rsidR="005641E0" w:rsidRPr="00290F2F" w:rsidRDefault="00205828" w:rsidP="00C57F30">
      <w:pPr>
        <w:numPr>
          <w:ilvl w:val="0"/>
          <w:numId w:val="1"/>
        </w:numPr>
        <w:tabs>
          <w:tab w:val="left" w:pos="0"/>
        </w:tabs>
        <w:ind w:left="567" w:hanging="567"/>
        <w:jc w:val="both"/>
        <w:rPr>
          <w:rFonts w:cs="Arial"/>
          <w:b/>
          <w:bCs/>
          <w:szCs w:val="24"/>
          <w:u w:val="single"/>
        </w:rPr>
      </w:pPr>
      <w:r>
        <w:rPr>
          <w:rFonts w:cs="Arial"/>
          <w:b/>
          <w:bCs/>
          <w:szCs w:val="24"/>
          <w:u w:val="single"/>
        </w:rPr>
        <w:t>Background</w:t>
      </w:r>
    </w:p>
    <w:p w14:paraId="59CC7CC4" w14:textId="77777777" w:rsidR="003E2127" w:rsidRPr="00290F2F" w:rsidRDefault="003E2127" w:rsidP="00C57F30">
      <w:pPr>
        <w:ind w:left="567"/>
        <w:jc w:val="both"/>
        <w:rPr>
          <w:rFonts w:cs="Arial"/>
          <w:b/>
          <w:bCs/>
          <w:szCs w:val="24"/>
          <w:u w:val="single"/>
        </w:rPr>
      </w:pPr>
    </w:p>
    <w:p w14:paraId="167F80C6" w14:textId="62E264A0" w:rsidR="00205828" w:rsidRPr="00205828" w:rsidRDefault="00205828" w:rsidP="00C57F30">
      <w:pPr>
        <w:pStyle w:val="ListParagraph"/>
        <w:numPr>
          <w:ilvl w:val="0"/>
          <w:numId w:val="1"/>
        </w:numPr>
        <w:ind w:left="567" w:hanging="567"/>
        <w:contextualSpacing/>
        <w:jc w:val="both"/>
        <w:rPr>
          <w:rFonts w:cs="Arial"/>
          <w:szCs w:val="24"/>
        </w:rPr>
      </w:pPr>
      <w:r w:rsidRPr="00745F95">
        <w:rPr>
          <w:rFonts w:cs="Arial"/>
          <w:szCs w:val="24"/>
        </w:rPr>
        <w:t>The purpose of this report is to</w:t>
      </w:r>
      <w:r w:rsidR="00DF6F73">
        <w:rPr>
          <w:rFonts w:cs="Arial"/>
          <w:szCs w:val="24"/>
        </w:rPr>
        <w:t xml:space="preserve"> </w:t>
      </w:r>
      <w:r w:rsidRPr="00745F95">
        <w:rPr>
          <w:rFonts w:cs="Arial"/>
          <w:szCs w:val="24"/>
        </w:rPr>
        <w:t>present the Council’s Annual Treasury Management</w:t>
      </w:r>
      <w:r>
        <w:rPr>
          <w:rFonts w:cs="Arial"/>
          <w:szCs w:val="24"/>
        </w:rPr>
        <w:t xml:space="preserve"> </w:t>
      </w:r>
      <w:r w:rsidR="000279A2">
        <w:rPr>
          <w:rFonts w:cs="Arial"/>
          <w:szCs w:val="24"/>
        </w:rPr>
        <w:t>outturn</w:t>
      </w:r>
      <w:r>
        <w:rPr>
          <w:rFonts w:cs="Arial"/>
          <w:szCs w:val="24"/>
        </w:rPr>
        <w:t xml:space="preserve"> position for 2020/21 </w:t>
      </w:r>
      <w:r w:rsidRPr="00205828">
        <w:rPr>
          <w:rFonts w:cs="Arial"/>
          <w:noProof/>
          <w:szCs w:val="24"/>
        </w:rPr>
        <w:t xml:space="preserve">in accordance with the Council’s Treasury Management Practices and  in compliance with the Chartered Institute of Public Finance and Accountancy’s (CIPFA) Treasury Management  Code of Practice.  </w:t>
      </w:r>
      <w:r w:rsidRPr="00205828">
        <w:rPr>
          <w:rFonts w:cs="Arial"/>
          <w:szCs w:val="24"/>
          <w:lang w:eastAsia="en-GB"/>
        </w:rPr>
        <w:t xml:space="preserve">The Council has complied with all elements of the Treasury Management Strategy Statement (TMSS) as the treasury management function.  </w:t>
      </w:r>
    </w:p>
    <w:p w14:paraId="3E6910A3" w14:textId="77777777" w:rsidR="00D972CF" w:rsidRPr="00D972CF" w:rsidRDefault="00D972CF" w:rsidP="00C57F30">
      <w:pPr>
        <w:pStyle w:val="ListParagraph"/>
        <w:ind w:left="567"/>
        <w:rPr>
          <w:rFonts w:cs="Arial"/>
          <w:szCs w:val="24"/>
        </w:rPr>
      </w:pPr>
    </w:p>
    <w:p w14:paraId="20F3FBE2" w14:textId="77777777" w:rsidR="00205828" w:rsidRPr="00205828" w:rsidRDefault="00205828" w:rsidP="00C57F30">
      <w:pPr>
        <w:pStyle w:val="ListParagraph"/>
        <w:numPr>
          <w:ilvl w:val="0"/>
          <w:numId w:val="1"/>
        </w:numPr>
        <w:ind w:left="567" w:hanging="567"/>
        <w:contextualSpacing/>
        <w:jc w:val="both"/>
        <w:rPr>
          <w:rFonts w:cs="Arial"/>
          <w:szCs w:val="24"/>
        </w:rPr>
      </w:pPr>
      <w:r w:rsidRPr="00205828">
        <w:rPr>
          <w:rFonts w:cs="Arial"/>
          <w:szCs w:val="24"/>
        </w:rPr>
        <w:t>Treasury management comprises:</w:t>
      </w:r>
    </w:p>
    <w:p w14:paraId="4B12DE53" w14:textId="77777777" w:rsidR="00205828" w:rsidRDefault="00205828" w:rsidP="00C57F30">
      <w:pPr>
        <w:autoSpaceDE w:val="0"/>
        <w:autoSpaceDN w:val="0"/>
        <w:adjustRightInd w:val="0"/>
        <w:ind w:left="567" w:hanging="567"/>
        <w:jc w:val="both"/>
        <w:rPr>
          <w:rFonts w:cs="Arial"/>
          <w:szCs w:val="24"/>
          <w:lang w:eastAsia="en-GB"/>
        </w:rPr>
      </w:pPr>
    </w:p>
    <w:p w14:paraId="2DE7EC19"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Pr>
          <w:rFonts w:cs="Arial"/>
          <w:szCs w:val="24"/>
          <w:lang w:eastAsia="en-GB"/>
        </w:rPr>
        <w:t>M</w:t>
      </w:r>
      <w:r w:rsidRPr="00895AF7">
        <w:rPr>
          <w:rFonts w:cs="Arial"/>
          <w:szCs w:val="24"/>
          <w:lang w:eastAsia="en-GB"/>
        </w:rPr>
        <w:t xml:space="preserve">anaging </w:t>
      </w:r>
      <w:proofErr w:type="gramStart"/>
      <w:r w:rsidRPr="00895AF7">
        <w:rPr>
          <w:rFonts w:ascii="ArialMT" w:hAnsi="ArialMT" w:cs="ArialMT"/>
          <w:szCs w:val="24"/>
          <w:lang w:eastAsia="en-GB"/>
        </w:rPr>
        <w:t>the  Council’s</w:t>
      </w:r>
      <w:proofErr w:type="gramEnd"/>
      <w:r w:rsidRPr="00895AF7">
        <w:rPr>
          <w:rFonts w:ascii="ArialMT" w:hAnsi="ArialMT" w:cs="ArialMT"/>
          <w:szCs w:val="24"/>
          <w:lang w:eastAsia="en-GB"/>
        </w:rPr>
        <w:t xml:space="preserve"> borrowing to ensure funding of the Council’s </w:t>
      </w:r>
      <w:r w:rsidRPr="00895AF7">
        <w:rPr>
          <w:rFonts w:cs="Arial"/>
          <w:szCs w:val="24"/>
          <w:lang w:eastAsia="en-GB"/>
        </w:rPr>
        <w:t xml:space="preserve"> </w:t>
      </w:r>
      <w:r>
        <w:rPr>
          <w:rFonts w:cs="Arial"/>
          <w:szCs w:val="24"/>
          <w:lang w:eastAsia="en-GB"/>
        </w:rPr>
        <w:t xml:space="preserve">current and </w:t>
      </w:r>
      <w:r w:rsidRPr="00895AF7">
        <w:rPr>
          <w:rFonts w:cs="Arial"/>
          <w:szCs w:val="24"/>
          <w:lang w:eastAsia="en-GB"/>
        </w:rPr>
        <w:t xml:space="preserve">future </w:t>
      </w:r>
      <w:r>
        <w:rPr>
          <w:rFonts w:cs="Arial"/>
          <w:szCs w:val="24"/>
          <w:lang w:eastAsia="en-GB"/>
        </w:rPr>
        <w:t>C</w:t>
      </w:r>
      <w:r w:rsidRPr="00895AF7">
        <w:rPr>
          <w:rFonts w:cs="Arial"/>
          <w:szCs w:val="24"/>
          <w:lang w:eastAsia="en-GB"/>
        </w:rPr>
        <w:t xml:space="preserve">apital </w:t>
      </w:r>
      <w:r>
        <w:rPr>
          <w:rFonts w:cs="Arial"/>
          <w:szCs w:val="24"/>
          <w:lang w:eastAsia="en-GB"/>
        </w:rPr>
        <w:t>P</w:t>
      </w:r>
      <w:r w:rsidRPr="00895AF7">
        <w:rPr>
          <w:rFonts w:cs="Arial"/>
          <w:szCs w:val="24"/>
          <w:lang w:eastAsia="en-GB"/>
        </w:rPr>
        <w:t>rogramme is at optimal cost;</w:t>
      </w:r>
    </w:p>
    <w:p w14:paraId="35593BAC"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sidRPr="00895AF7">
        <w:rPr>
          <w:rFonts w:cs="Arial"/>
          <w:szCs w:val="24"/>
          <w:lang w:eastAsia="en-GB"/>
        </w:rPr>
        <w:t>Investing surplus cash balances arising from the day-to-day operations of the Council to obtain an optimal return while ensuring security of capital and liquidity.</w:t>
      </w:r>
    </w:p>
    <w:p w14:paraId="3B52FEFD" w14:textId="77777777" w:rsidR="00205828" w:rsidRDefault="00205828" w:rsidP="00C57F30">
      <w:pPr>
        <w:autoSpaceDE w:val="0"/>
        <w:autoSpaceDN w:val="0"/>
        <w:adjustRightInd w:val="0"/>
        <w:ind w:left="567"/>
        <w:jc w:val="both"/>
        <w:rPr>
          <w:rFonts w:cs="Arial"/>
          <w:szCs w:val="24"/>
          <w:lang w:eastAsia="en-GB"/>
        </w:rPr>
      </w:pPr>
    </w:p>
    <w:p w14:paraId="7A0D1104" w14:textId="77777777" w:rsidR="00205828" w:rsidRPr="00745F95" w:rsidRDefault="00205828" w:rsidP="00C57F30">
      <w:pPr>
        <w:ind w:left="567" w:hanging="567"/>
        <w:jc w:val="both"/>
        <w:rPr>
          <w:rFonts w:cs="Arial"/>
          <w:iCs/>
          <w:szCs w:val="24"/>
        </w:rPr>
      </w:pPr>
      <w:r>
        <w:rPr>
          <w:rFonts w:cs="Arial"/>
          <w:szCs w:val="24"/>
        </w:rPr>
        <w:t>1.3</w:t>
      </w:r>
      <w:r>
        <w:rPr>
          <w:rFonts w:cs="Arial"/>
          <w:szCs w:val="24"/>
        </w:rPr>
        <w:tab/>
      </w:r>
      <w:r w:rsidRPr="00745F95">
        <w:rPr>
          <w:rFonts w:cs="Arial"/>
          <w:szCs w:val="24"/>
        </w:rPr>
        <w:t>The annual revenue budget includes the revenue costs that flow from capital financing decisions. Under the</w:t>
      </w:r>
      <w:r>
        <w:rPr>
          <w:rFonts w:cs="Arial"/>
          <w:szCs w:val="24"/>
        </w:rPr>
        <w:t xml:space="preserve"> CIPFA</w:t>
      </w:r>
      <w:r w:rsidRPr="00745F95">
        <w:rPr>
          <w:rFonts w:cs="Arial"/>
          <w:szCs w:val="24"/>
        </w:rPr>
        <w:t xml:space="preserve"> Treasury Management Code</w:t>
      </w:r>
      <w:r>
        <w:rPr>
          <w:rFonts w:cs="Arial"/>
          <w:szCs w:val="24"/>
        </w:rPr>
        <w:t xml:space="preserve"> of Practice and the CIPFA Prudential Code</w:t>
      </w:r>
      <w:r w:rsidRPr="00745F95">
        <w:rPr>
          <w:rFonts w:cs="Arial"/>
          <w:szCs w:val="24"/>
        </w:rPr>
        <w:t xml:space="preserve">, increases in capital expenditure should be limited to levels whereby increases in interest charges and running costs </w:t>
      </w:r>
      <w:r w:rsidRPr="00205828">
        <w:rPr>
          <w:rFonts w:cs="Arial"/>
          <w:szCs w:val="24"/>
        </w:rPr>
        <w:t>are affordable within the Council’s revenue account.</w:t>
      </w:r>
    </w:p>
    <w:p w14:paraId="6252AFE0" w14:textId="77777777" w:rsidR="00205828" w:rsidRDefault="00205828" w:rsidP="00C57F30">
      <w:pPr>
        <w:pStyle w:val="ListParagraph"/>
        <w:ind w:left="567"/>
        <w:jc w:val="both"/>
        <w:rPr>
          <w:rFonts w:cs="Arial"/>
          <w:iCs/>
          <w:szCs w:val="24"/>
        </w:rPr>
      </w:pPr>
    </w:p>
    <w:p w14:paraId="19321419" w14:textId="63364838" w:rsidR="00205828" w:rsidRPr="00745F95" w:rsidRDefault="00205828" w:rsidP="00C57F30">
      <w:pPr>
        <w:pStyle w:val="ListParagraph"/>
        <w:numPr>
          <w:ilvl w:val="1"/>
          <w:numId w:val="16"/>
        </w:numPr>
        <w:ind w:left="567" w:hanging="567"/>
        <w:jc w:val="both"/>
        <w:rPr>
          <w:rFonts w:cs="Arial"/>
          <w:bCs/>
          <w:szCs w:val="24"/>
        </w:rPr>
      </w:pPr>
      <w:r>
        <w:rPr>
          <w:rFonts w:cs="Arial"/>
          <w:bCs/>
          <w:szCs w:val="24"/>
        </w:rPr>
        <w:lastRenderedPageBreak/>
        <w:t>T</w:t>
      </w:r>
      <w:r w:rsidRPr="00745F95">
        <w:rPr>
          <w:rFonts w:cs="Arial"/>
          <w:bCs/>
          <w:szCs w:val="24"/>
        </w:rPr>
        <w: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to ensure the security and liquidity of the Council’s treasury investments.</w:t>
      </w:r>
    </w:p>
    <w:p w14:paraId="3139AFE4" w14:textId="77777777" w:rsidR="00205828" w:rsidRPr="0083176F" w:rsidRDefault="00205828" w:rsidP="00C57F30">
      <w:pPr>
        <w:pStyle w:val="ListParagraph"/>
        <w:ind w:left="567"/>
        <w:rPr>
          <w:rFonts w:cs="Arial"/>
          <w:bCs/>
          <w:szCs w:val="24"/>
        </w:rPr>
      </w:pPr>
    </w:p>
    <w:p w14:paraId="0D1D8922" w14:textId="77777777" w:rsidR="00205828" w:rsidRPr="00745F95" w:rsidRDefault="00205828" w:rsidP="00C57F30">
      <w:pPr>
        <w:ind w:left="567" w:hanging="567"/>
        <w:jc w:val="both"/>
        <w:rPr>
          <w:rFonts w:cs="Arial"/>
          <w:szCs w:val="24"/>
        </w:rPr>
      </w:pPr>
      <w:r>
        <w:rPr>
          <w:rFonts w:cs="Arial"/>
          <w:bCs/>
          <w:szCs w:val="24"/>
        </w:rPr>
        <w:t>1.5</w:t>
      </w:r>
      <w:r>
        <w:rPr>
          <w:rFonts w:cs="Arial"/>
          <w:bCs/>
          <w:szCs w:val="24"/>
        </w:rPr>
        <w:tab/>
      </w:r>
      <w:r w:rsidRPr="00745F95">
        <w:rPr>
          <w:rFonts w:cs="Arial"/>
          <w:bCs/>
          <w:szCs w:val="24"/>
        </w:rPr>
        <w:t>The</w:t>
      </w:r>
      <w:r w:rsidRPr="00745F95">
        <w:rPr>
          <w:rFonts w:cs="Arial"/>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w:t>
      </w:r>
      <w:r>
        <w:rPr>
          <w:rFonts w:cs="Arial"/>
          <w:szCs w:val="24"/>
        </w:rPr>
        <w:t xml:space="preserve"> CIPFA</w:t>
      </w:r>
      <w:r w:rsidRPr="00745F95">
        <w:rPr>
          <w:rFonts w:cs="Arial"/>
          <w:szCs w:val="24"/>
        </w:rPr>
        <w:t xml:space="preserve"> Treasury Management Code</w:t>
      </w:r>
      <w:r>
        <w:rPr>
          <w:rFonts w:cs="Arial"/>
          <w:szCs w:val="24"/>
        </w:rPr>
        <w:t xml:space="preserve"> of Practice</w:t>
      </w:r>
      <w:r w:rsidRPr="00745F95">
        <w:rPr>
          <w:rFonts w:cs="Arial"/>
          <w:szCs w:val="24"/>
        </w:rPr>
        <w:t>.</w:t>
      </w:r>
    </w:p>
    <w:p w14:paraId="0E1229B4" w14:textId="4FCC296F" w:rsidR="006716EB" w:rsidRPr="00D972CF" w:rsidRDefault="006716EB" w:rsidP="00C10137">
      <w:pPr>
        <w:pStyle w:val="ListParagraph"/>
        <w:ind w:left="567"/>
        <w:contextualSpacing/>
        <w:jc w:val="both"/>
        <w:rPr>
          <w:rFonts w:cs="Arial"/>
          <w:szCs w:val="24"/>
        </w:rPr>
      </w:pPr>
    </w:p>
    <w:p w14:paraId="10E363A3" w14:textId="77777777" w:rsidR="0055673A" w:rsidRPr="00CD5B85" w:rsidRDefault="0055673A" w:rsidP="00487CDB">
      <w:pPr>
        <w:pStyle w:val="ListParagraph"/>
        <w:spacing w:after="120"/>
        <w:ind w:left="689" w:right="306"/>
        <w:contextualSpacing/>
        <w:jc w:val="both"/>
        <w:rPr>
          <w:rFonts w:cs="Arial"/>
          <w:szCs w:val="24"/>
        </w:rPr>
      </w:pPr>
    </w:p>
    <w:p w14:paraId="59E24DE3" w14:textId="1F59E3D9" w:rsidR="00BE5E6A" w:rsidRPr="00CD5B85" w:rsidRDefault="00C10137" w:rsidP="005E4BA2">
      <w:pPr>
        <w:pStyle w:val="ListParagraph"/>
        <w:numPr>
          <w:ilvl w:val="0"/>
          <w:numId w:val="6"/>
        </w:numPr>
        <w:ind w:left="567" w:hanging="567"/>
        <w:jc w:val="both"/>
        <w:rPr>
          <w:rFonts w:cs="Arial"/>
          <w:b/>
          <w:szCs w:val="24"/>
          <w:u w:val="single"/>
        </w:rPr>
      </w:pPr>
      <w:r>
        <w:rPr>
          <w:rFonts w:cs="Arial"/>
          <w:b/>
          <w:szCs w:val="24"/>
          <w:u w:val="single"/>
        </w:rPr>
        <w:t>Reporting Requirements</w:t>
      </w:r>
    </w:p>
    <w:p w14:paraId="0740BE2D" w14:textId="77777777" w:rsidR="003E2127" w:rsidRPr="00CD5B85" w:rsidRDefault="003E2127" w:rsidP="003634DA">
      <w:pPr>
        <w:pStyle w:val="ListParagraph"/>
        <w:ind w:left="567"/>
        <w:jc w:val="both"/>
        <w:rPr>
          <w:rFonts w:cs="Arial"/>
          <w:b/>
          <w:szCs w:val="24"/>
          <w:u w:val="single"/>
        </w:rPr>
      </w:pPr>
    </w:p>
    <w:p w14:paraId="61DCD457" w14:textId="77777777" w:rsidR="00C10137" w:rsidRPr="00745F95" w:rsidRDefault="00C10137" w:rsidP="00C57F30">
      <w:pPr>
        <w:pStyle w:val="ListParagraph"/>
        <w:numPr>
          <w:ilvl w:val="1"/>
          <w:numId w:val="18"/>
        </w:numPr>
        <w:ind w:left="567" w:hanging="567"/>
        <w:jc w:val="both"/>
        <w:rPr>
          <w:rFonts w:cs="Arial"/>
          <w:iCs/>
          <w:noProof/>
          <w:szCs w:val="24"/>
        </w:rPr>
      </w:pPr>
      <w:r w:rsidRPr="00745F95">
        <w:rPr>
          <w:rFonts w:cs="Arial"/>
          <w:iCs/>
          <w:noProof/>
          <w:szCs w:val="24"/>
        </w:rPr>
        <w:t>The Council and/or Cabinet are required to receive and approve, as a minimum, three main reports each year, which incorporate a variety of policies, estimates and actuals.</w:t>
      </w:r>
    </w:p>
    <w:p w14:paraId="6FCAEB57" w14:textId="77777777" w:rsidR="00C10137" w:rsidRDefault="00C10137" w:rsidP="00C10137">
      <w:pPr>
        <w:pStyle w:val="ListParagraph"/>
        <w:tabs>
          <w:tab w:val="left" w:pos="567"/>
        </w:tabs>
        <w:ind w:hanging="720"/>
        <w:jc w:val="both"/>
        <w:rPr>
          <w:rFonts w:cs="Arial"/>
          <w:iCs/>
          <w:noProof/>
          <w:szCs w:val="24"/>
        </w:rPr>
      </w:pPr>
      <w:r w:rsidRPr="007D40C1">
        <w:rPr>
          <w:rFonts w:cs="Arial"/>
          <w:iCs/>
          <w:noProof/>
          <w:szCs w:val="24"/>
        </w:rPr>
        <w:t xml:space="preserve">  </w:t>
      </w:r>
    </w:p>
    <w:p w14:paraId="56B34B5C" w14:textId="6570B9FF" w:rsidR="00C10137" w:rsidRPr="00105BD0" w:rsidRDefault="00C10137" w:rsidP="00C57F30">
      <w:pPr>
        <w:ind w:left="567"/>
        <w:jc w:val="both"/>
        <w:rPr>
          <w:rFonts w:cs="Arial"/>
          <w:iCs/>
          <w:noProof/>
          <w:szCs w:val="24"/>
        </w:rPr>
      </w:pPr>
      <w:r w:rsidRPr="00105BD0">
        <w:rPr>
          <w:rFonts w:cs="Arial"/>
          <w:b/>
          <w:iCs/>
          <w:noProof/>
          <w:szCs w:val="22"/>
        </w:rPr>
        <w:t>Treasury Management Strategy Statement</w:t>
      </w:r>
      <w:r>
        <w:rPr>
          <w:rFonts w:cs="Arial"/>
          <w:b/>
          <w:iCs/>
          <w:noProof/>
          <w:szCs w:val="22"/>
        </w:rPr>
        <w:t xml:space="preserve"> </w:t>
      </w:r>
      <w:r w:rsidRPr="00105BD0">
        <w:rPr>
          <w:rFonts w:cs="Arial"/>
          <w:b/>
          <w:iCs/>
          <w:noProof/>
          <w:szCs w:val="22"/>
        </w:rPr>
        <w:t xml:space="preserve"> </w:t>
      </w:r>
      <w:r>
        <w:rPr>
          <w:rFonts w:cs="Arial"/>
          <w:b/>
          <w:iCs/>
          <w:noProof/>
          <w:szCs w:val="22"/>
        </w:rPr>
        <w:t>R</w:t>
      </w:r>
      <w:r w:rsidRPr="00105BD0">
        <w:rPr>
          <w:rFonts w:cs="Arial"/>
          <w:b/>
          <w:iCs/>
          <w:noProof/>
          <w:szCs w:val="22"/>
        </w:rPr>
        <w:t>eport</w:t>
      </w:r>
      <w:r w:rsidR="008D3FFB">
        <w:rPr>
          <w:rFonts w:cs="Arial"/>
          <w:b/>
          <w:iCs/>
          <w:noProof/>
          <w:szCs w:val="22"/>
        </w:rPr>
        <w:t xml:space="preserve"> – </w:t>
      </w:r>
      <w:r w:rsidRPr="00105BD0">
        <w:rPr>
          <w:rFonts w:cs="Arial"/>
          <w:iCs/>
          <w:noProof/>
          <w:szCs w:val="24"/>
        </w:rPr>
        <w:t>The first, and most important report is presented to the Council in February</w:t>
      </w:r>
      <w:r>
        <w:rPr>
          <w:rFonts w:cs="Arial"/>
          <w:iCs/>
          <w:noProof/>
          <w:szCs w:val="24"/>
        </w:rPr>
        <w:t xml:space="preserve"> </w:t>
      </w:r>
      <w:r w:rsidRPr="00105BD0">
        <w:rPr>
          <w:rFonts w:cs="Arial"/>
          <w:iCs/>
          <w:noProof/>
          <w:szCs w:val="24"/>
        </w:rPr>
        <w:t>and covers:</w:t>
      </w:r>
    </w:p>
    <w:p w14:paraId="375EF1D9" w14:textId="77777777" w:rsidR="00C10137" w:rsidRPr="00105BD0" w:rsidRDefault="00C10137" w:rsidP="00C57F30">
      <w:pPr>
        <w:numPr>
          <w:ilvl w:val="0"/>
          <w:numId w:val="17"/>
        </w:numPr>
        <w:spacing w:before="45" w:after="45"/>
        <w:ind w:left="851" w:hanging="284"/>
        <w:jc w:val="both"/>
        <w:rPr>
          <w:rFonts w:cs="Arial"/>
          <w:noProof/>
          <w:szCs w:val="24"/>
        </w:rPr>
      </w:pPr>
      <w:r>
        <w:rPr>
          <w:rFonts w:cs="Arial"/>
          <w:noProof/>
          <w:szCs w:val="24"/>
        </w:rPr>
        <w:t>T</w:t>
      </w:r>
      <w:r w:rsidRPr="00105BD0">
        <w:rPr>
          <w:rFonts w:cs="Arial"/>
          <w:noProof/>
          <w:szCs w:val="24"/>
        </w:rPr>
        <w:t xml:space="preserve">he Treasury Management Strategy </w:t>
      </w:r>
      <w:r>
        <w:rPr>
          <w:rFonts w:cs="Arial"/>
          <w:noProof/>
          <w:szCs w:val="24"/>
        </w:rPr>
        <w:t xml:space="preserve">Statement (TMSS), which details </w:t>
      </w:r>
      <w:r w:rsidRPr="00105BD0">
        <w:rPr>
          <w:rFonts w:cs="Arial"/>
          <w:noProof/>
          <w:szCs w:val="24"/>
        </w:rPr>
        <w:t>how the investments and borrowings</w:t>
      </w:r>
      <w:r>
        <w:rPr>
          <w:rFonts w:cs="Arial"/>
          <w:noProof/>
          <w:szCs w:val="24"/>
        </w:rPr>
        <w:t xml:space="preserve"> for capital expenditure</w:t>
      </w:r>
      <w:r w:rsidRPr="00105BD0">
        <w:rPr>
          <w:rFonts w:cs="Arial"/>
          <w:noProof/>
          <w:szCs w:val="24"/>
        </w:rPr>
        <w:t xml:space="preserve"> are to be organised</w:t>
      </w:r>
      <w:r>
        <w:rPr>
          <w:rFonts w:cs="Arial"/>
          <w:noProof/>
          <w:szCs w:val="24"/>
        </w:rPr>
        <w:t>,</w:t>
      </w:r>
      <w:r w:rsidRPr="00105BD0">
        <w:rPr>
          <w:rFonts w:cs="Arial"/>
          <w:noProof/>
          <w:szCs w:val="24"/>
        </w:rPr>
        <w:t xml:space="preserve"> including </w:t>
      </w:r>
      <w:r>
        <w:rPr>
          <w:rFonts w:cs="Arial"/>
          <w:noProof/>
          <w:szCs w:val="24"/>
        </w:rPr>
        <w:t>T</w:t>
      </w:r>
      <w:r w:rsidRPr="00105BD0">
        <w:rPr>
          <w:rFonts w:cs="Arial"/>
          <w:noProof/>
          <w:szCs w:val="24"/>
        </w:rPr>
        <w:t xml:space="preserve">reasury </w:t>
      </w:r>
      <w:r>
        <w:rPr>
          <w:rFonts w:cs="Arial"/>
          <w:noProof/>
          <w:szCs w:val="24"/>
        </w:rPr>
        <w:t>Limits</w:t>
      </w:r>
      <w:r w:rsidRPr="00105BD0">
        <w:rPr>
          <w:rFonts w:cs="Arial"/>
          <w:noProof/>
          <w:szCs w:val="24"/>
        </w:rPr>
        <w:t xml:space="preserve"> and</w:t>
      </w:r>
      <w:r>
        <w:rPr>
          <w:rFonts w:cs="Arial"/>
          <w:noProof/>
          <w:szCs w:val="24"/>
        </w:rPr>
        <w:t xml:space="preserve"> Prudential Indicators.</w:t>
      </w:r>
    </w:p>
    <w:p w14:paraId="5070DB1C" w14:textId="77777777" w:rsidR="00C10137" w:rsidRDefault="00C10137" w:rsidP="00C57F30">
      <w:pPr>
        <w:numPr>
          <w:ilvl w:val="0"/>
          <w:numId w:val="17"/>
        </w:numPr>
        <w:spacing w:before="45" w:after="45"/>
        <w:ind w:left="851" w:hanging="284"/>
        <w:jc w:val="both"/>
        <w:rPr>
          <w:rFonts w:cs="Arial"/>
          <w:noProof/>
          <w:szCs w:val="24"/>
        </w:rPr>
      </w:pPr>
      <w:r>
        <w:rPr>
          <w:rFonts w:cs="Arial"/>
          <w:noProof/>
          <w:szCs w:val="24"/>
        </w:rPr>
        <w:t>The Annual</w:t>
      </w:r>
      <w:r w:rsidRPr="00105BD0">
        <w:rPr>
          <w:rFonts w:cs="Arial"/>
          <w:noProof/>
          <w:szCs w:val="24"/>
        </w:rPr>
        <w:t xml:space="preserve"> Investment Strategy</w:t>
      </w:r>
      <w:r>
        <w:rPr>
          <w:rFonts w:cs="Arial"/>
          <w:noProof/>
          <w:szCs w:val="24"/>
        </w:rPr>
        <w:t xml:space="preserve"> which forms part of the TMSS, </w:t>
      </w:r>
      <w:r w:rsidRPr="00105BD0">
        <w:rPr>
          <w:rFonts w:cs="Arial"/>
          <w:noProof/>
          <w:szCs w:val="24"/>
        </w:rPr>
        <w:t>(the parameters on how investments are to be managed).</w:t>
      </w:r>
    </w:p>
    <w:p w14:paraId="1492B3BD" w14:textId="6B45042F" w:rsidR="00C10137" w:rsidRDefault="00C10137" w:rsidP="00C57F30">
      <w:pPr>
        <w:numPr>
          <w:ilvl w:val="0"/>
          <w:numId w:val="17"/>
        </w:numPr>
        <w:spacing w:before="45" w:after="45"/>
        <w:ind w:left="851" w:hanging="284"/>
        <w:jc w:val="both"/>
        <w:rPr>
          <w:rFonts w:cs="Arial"/>
          <w:noProof/>
          <w:szCs w:val="24"/>
        </w:rPr>
      </w:pPr>
      <w:r w:rsidRPr="007D40C1">
        <w:rPr>
          <w:rFonts w:cs="Arial"/>
          <w:noProof/>
          <w:szCs w:val="24"/>
        </w:rPr>
        <w:t>the MRP Policy (how capital expenditure is charged to revenue over time)</w:t>
      </w:r>
      <w:r>
        <w:rPr>
          <w:rFonts w:cs="Arial"/>
          <w:noProof/>
          <w:szCs w:val="24"/>
        </w:rPr>
        <w:t>.</w:t>
      </w:r>
    </w:p>
    <w:p w14:paraId="157839A6" w14:textId="40484A94" w:rsidR="002368AA" w:rsidRDefault="002368AA" w:rsidP="002368AA">
      <w:pPr>
        <w:spacing w:before="45" w:after="45"/>
        <w:jc w:val="both"/>
        <w:rPr>
          <w:rFonts w:cs="Arial"/>
          <w:noProof/>
          <w:szCs w:val="24"/>
        </w:rPr>
      </w:pPr>
    </w:p>
    <w:p w14:paraId="3061EF3A" w14:textId="1769D2DA" w:rsidR="002368AA" w:rsidRPr="008A1A78" w:rsidRDefault="002368AA" w:rsidP="00C57F30">
      <w:pPr>
        <w:spacing w:before="45" w:after="45"/>
        <w:ind w:left="567"/>
        <w:jc w:val="both"/>
        <w:rPr>
          <w:rFonts w:cs="Arial"/>
          <w:b/>
          <w:bCs/>
          <w:noProof/>
          <w:szCs w:val="24"/>
        </w:rPr>
      </w:pPr>
      <w:r w:rsidRPr="008A1A78">
        <w:rPr>
          <w:rFonts w:cs="Arial"/>
          <w:b/>
          <w:bCs/>
          <w:noProof/>
          <w:szCs w:val="24"/>
        </w:rPr>
        <w:t xml:space="preserve">The 2020/21 TMSS was presented to Council on </w:t>
      </w:r>
      <w:r w:rsidR="00FC000E" w:rsidRPr="008A1A78">
        <w:rPr>
          <w:rFonts w:cs="Arial"/>
          <w:b/>
          <w:bCs/>
          <w:noProof/>
          <w:szCs w:val="24"/>
        </w:rPr>
        <w:t>13</w:t>
      </w:r>
      <w:r w:rsidR="00FC000E" w:rsidRPr="008A1A78">
        <w:rPr>
          <w:rFonts w:cs="Arial"/>
          <w:b/>
          <w:bCs/>
          <w:noProof/>
          <w:szCs w:val="24"/>
          <w:vertAlign w:val="superscript"/>
        </w:rPr>
        <w:t>th</w:t>
      </w:r>
      <w:r w:rsidR="00FC000E" w:rsidRPr="008A1A78">
        <w:rPr>
          <w:rFonts w:cs="Arial"/>
          <w:b/>
          <w:bCs/>
          <w:noProof/>
          <w:szCs w:val="24"/>
        </w:rPr>
        <w:t xml:space="preserve"> February 2020.</w:t>
      </w:r>
    </w:p>
    <w:p w14:paraId="5B062915" w14:textId="77777777" w:rsidR="00C10137" w:rsidRPr="00105BD0" w:rsidRDefault="00C10137" w:rsidP="00C57F30">
      <w:pPr>
        <w:ind w:left="567"/>
        <w:jc w:val="both"/>
        <w:rPr>
          <w:rFonts w:cs="Arial"/>
          <w:iCs/>
          <w:noProof/>
          <w:sz w:val="22"/>
          <w:szCs w:val="22"/>
        </w:rPr>
      </w:pPr>
    </w:p>
    <w:p w14:paraId="1662F927" w14:textId="413A67F3" w:rsidR="00C10137" w:rsidRDefault="00C10137" w:rsidP="00C57F30">
      <w:pPr>
        <w:ind w:left="567"/>
        <w:jc w:val="both"/>
        <w:rPr>
          <w:rFonts w:cs="Arial"/>
          <w:iCs/>
          <w:noProof/>
          <w:szCs w:val="24"/>
        </w:rPr>
      </w:pPr>
      <w:r w:rsidRPr="00105BD0">
        <w:rPr>
          <w:rFonts w:cs="Arial"/>
          <w:b/>
          <w:iCs/>
          <w:noProof/>
          <w:szCs w:val="24"/>
        </w:rPr>
        <w:t>Mid-</w:t>
      </w:r>
      <w:r>
        <w:rPr>
          <w:rFonts w:cs="Arial"/>
          <w:b/>
          <w:iCs/>
          <w:noProof/>
          <w:szCs w:val="24"/>
        </w:rPr>
        <w:t>Y</w:t>
      </w:r>
      <w:r w:rsidRPr="00105BD0">
        <w:rPr>
          <w:rFonts w:cs="Arial"/>
          <w:b/>
          <w:iCs/>
          <w:noProof/>
          <w:szCs w:val="24"/>
        </w:rPr>
        <w:t xml:space="preserve">ear Review </w:t>
      </w:r>
      <w:r>
        <w:rPr>
          <w:rFonts w:cs="Arial"/>
          <w:b/>
          <w:iCs/>
          <w:noProof/>
          <w:szCs w:val="24"/>
        </w:rPr>
        <w:t>R</w:t>
      </w:r>
      <w:r w:rsidRPr="00105BD0">
        <w:rPr>
          <w:rFonts w:cs="Arial"/>
          <w:b/>
          <w:iCs/>
          <w:noProof/>
          <w:szCs w:val="24"/>
        </w:rPr>
        <w:t>eport</w:t>
      </w:r>
      <w:r w:rsidRPr="00105BD0">
        <w:rPr>
          <w:rFonts w:cs="Arial"/>
          <w:b/>
          <w:iCs/>
          <w:noProof/>
          <w:sz w:val="22"/>
          <w:szCs w:val="22"/>
        </w:rPr>
        <w:t xml:space="preserve"> </w:t>
      </w:r>
      <w:r>
        <w:rPr>
          <w:rFonts w:cs="Arial"/>
          <w:b/>
          <w:iCs/>
          <w:noProof/>
          <w:sz w:val="22"/>
          <w:szCs w:val="22"/>
        </w:rPr>
        <w:t xml:space="preserve"> </w:t>
      </w:r>
      <w:r w:rsidRPr="00105BD0">
        <w:rPr>
          <w:rFonts w:cs="Arial"/>
          <w:iCs/>
          <w:noProof/>
          <w:sz w:val="22"/>
          <w:szCs w:val="22"/>
        </w:rPr>
        <w:t xml:space="preserve">– </w:t>
      </w:r>
      <w:r w:rsidRPr="00105BD0">
        <w:rPr>
          <w:rFonts w:cs="Arial"/>
          <w:iCs/>
          <w:noProof/>
          <w:szCs w:val="24"/>
        </w:rPr>
        <w:t xml:space="preserve">This is presented to Cabinet in </w:t>
      </w:r>
      <w:r>
        <w:rPr>
          <w:rFonts w:cs="Arial"/>
          <w:iCs/>
          <w:noProof/>
          <w:szCs w:val="24"/>
        </w:rPr>
        <w:t xml:space="preserve">December/January </w:t>
      </w:r>
      <w:r w:rsidRPr="00105BD0">
        <w:rPr>
          <w:rFonts w:cs="Arial"/>
          <w:iCs/>
          <w:noProof/>
          <w:szCs w:val="24"/>
        </w:rPr>
        <w:t xml:space="preserve">and updates Members on the progress of the </w:t>
      </w:r>
      <w:r>
        <w:rPr>
          <w:rFonts w:cs="Arial"/>
          <w:iCs/>
          <w:noProof/>
          <w:szCs w:val="24"/>
        </w:rPr>
        <w:t>C</w:t>
      </w:r>
      <w:r w:rsidRPr="00105BD0">
        <w:rPr>
          <w:rFonts w:cs="Arial"/>
          <w:iCs/>
          <w:noProof/>
          <w:szCs w:val="24"/>
        </w:rPr>
        <w:t xml:space="preserve">apital </w:t>
      </w:r>
      <w:r>
        <w:rPr>
          <w:rFonts w:cs="Arial"/>
          <w:iCs/>
          <w:noProof/>
          <w:szCs w:val="24"/>
        </w:rPr>
        <w:t>Programme</w:t>
      </w:r>
      <w:r w:rsidRPr="00105BD0">
        <w:rPr>
          <w:rFonts w:cs="Arial"/>
          <w:iCs/>
          <w:noProof/>
          <w:szCs w:val="24"/>
        </w:rPr>
        <w:t>, reporting on  Prudential Indicators</w:t>
      </w:r>
      <w:r>
        <w:rPr>
          <w:rFonts w:cs="Arial"/>
          <w:iCs/>
          <w:noProof/>
          <w:szCs w:val="24"/>
        </w:rPr>
        <w:t xml:space="preserve"> to give assurance that the treasury management function is operating within the Treasury Limits and Prudential Indicators set out in the TMSS.</w:t>
      </w:r>
    </w:p>
    <w:p w14:paraId="0DA62FE7" w14:textId="3B8866DE" w:rsidR="002368AA" w:rsidRDefault="002368AA" w:rsidP="00C57F30">
      <w:pPr>
        <w:ind w:left="567"/>
        <w:jc w:val="both"/>
        <w:rPr>
          <w:rFonts w:cs="Arial"/>
          <w:iCs/>
          <w:noProof/>
          <w:szCs w:val="24"/>
        </w:rPr>
      </w:pPr>
    </w:p>
    <w:p w14:paraId="7ADF2418" w14:textId="42930377" w:rsidR="002368AA" w:rsidRPr="008A1A78" w:rsidRDefault="002368AA" w:rsidP="00C57F30">
      <w:pPr>
        <w:ind w:left="567"/>
        <w:jc w:val="both"/>
        <w:rPr>
          <w:rFonts w:cs="Arial"/>
          <w:b/>
          <w:bCs/>
          <w:iCs/>
          <w:noProof/>
          <w:szCs w:val="24"/>
        </w:rPr>
      </w:pPr>
      <w:r w:rsidRPr="008A1A78">
        <w:rPr>
          <w:rFonts w:cs="Arial"/>
          <w:b/>
          <w:bCs/>
          <w:iCs/>
          <w:noProof/>
          <w:szCs w:val="24"/>
        </w:rPr>
        <w:t xml:space="preserve">The 2020/21 Mid-Year Report was presented to Cabinet on </w:t>
      </w:r>
      <w:r w:rsidR="00FC000E" w:rsidRPr="008A1A78">
        <w:rPr>
          <w:rFonts w:cs="Arial"/>
          <w:b/>
          <w:bCs/>
          <w:iCs/>
          <w:noProof/>
          <w:szCs w:val="24"/>
        </w:rPr>
        <w:t>21</w:t>
      </w:r>
      <w:r w:rsidR="00FC000E" w:rsidRPr="008A1A78">
        <w:rPr>
          <w:rFonts w:cs="Arial"/>
          <w:b/>
          <w:bCs/>
          <w:iCs/>
          <w:noProof/>
          <w:szCs w:val="24"/>
          <w:vertAlign w:val="superscript"/>
        </w:rPr>
        <w:t>st</w:t>
      </w:r>
      <w:r w:rsidR="00FC000E" w:rsidRPr="008A1A78">
        <w:rPr>
          <w:rFonts w:cs="Arial"/>
          <w:b/>
          <w:bCs/>
          <w:iCs/>
          <w:noProof/>
          <w:szCs w:val="24"/>
        </w:rPr>
        <w:t xml:space="preserve"> January 2020/21</w:t>
      </w:r>
    </w:p>
    <w:p w14:paraId="6DFCFD92" w14:textId="0D7CF3EB" w:rsidR="00C10137" w:rsidRPr="00105BD0" w:rsidRDefault="00C10137" w:rsidP="00C57F30">
      <w:pPr>
        <w:ind w:left="567"/>
        <w:jc w:val="both"/>
        <w:rPr>
          <w:rFonts w:cs="Arial"/>
          <w:iCs/>
          <w:noProof/>
          <w:szCs w:val="24"/>
        </w:rPr>
      </w:pPr>
      <w:r>
        <w:rPr>
          <w:rFonts w:cs="Arial"/>
          <w:iCs/>
          <w:noProof/>
          <w:szCs w:val="24"/>
        </w:rPr>
        <w:t xml:space="preserve"> </w:t>
      </w:r>
    </w:p>
    <w:p w14:paraId="531B4601" w14:textId="778A7298" w:rsidR="002368AA" w:rsidRDefault="00C10137" w:rsidP="00C57F30">
      <w:pPr>
        <w:ind w:left="567"/>
        <w:jc w:val="both"/>
        <w:rPr>
          <w:rFonts w:cs="Arial"/>
          <w:bCs/>
          <w:iCs/>
          <w:noProof/>
          <w:szCs w:val="24"/>
        </w:rPr>
      </w:pPr>
      <w:r w:rsidRPr="00105BD0">
        <w:rPr>
          <w:rFonts w:cs="Arial"/>
          <w:b/>
          <w:iCs/>
          <w:noProof/>
          <w:szCs w:val="24"/>
        </w:rPr>
        <w:t xml:space="preserve">Treasury Management Outturn </w:t>
      </w:r>
      <w:r>
        <w:rPr>
          <w:rFonts w:cs="Arial"/>
          <w:b/>
          <w:iCs/>
          <w:noProof/>
          <w:szCs w:val="24"/>
        </w:rPr>
        <w:t>R</w:t>
      </w:r>
      <w:r w:rsidRPr="00105BD0">
        <w:rPr>
          <w:rFonts w:cs="Arial"/>
          <w:b/>
          <w:iCs/>
          <w:noProof/>
          <w:szCs w:val="24"/>
        </w:rPr>
        <w:t>eport</w:t>
      </w:r>
      <w:r>
        <w:rPr>
          <w:rFonts w:cs="Arial"/>
          <w:b/>
          <w:iCs/>
          <w:noProof/>
          <w:szCs w:val="24"/>
        </w:rPr>
        <w:t xml:space="preserve"> </w:t>
      </w:r>
      <w:r w:rsidRPr="00C10137">
        <w:rPr>
          <w:rFonts w:cs="Arial"/>
          <w:bCs/>
          <w:iCs/>
          <w:noProof/>
          <w:szCs w:val="24"/>
        </w:rPr>
        <w:t xml:space="preserve">– This </w:t>
      </w:r>
      <w:r>
        <w:rPr>
          <w:rFonts w:cs="Arial"/>
          <w:bCs/>
          <w:iCs/>
          <w:noProof/>
          <w:szCs w:val="24"/>
        </w:rPr>
        <w:t>report,</w:t>
      </w:r>
      <w:r w:rsidRPr="00C10137">
        <w:rPr>
          <w:rFonts w:cs="Arial"/>
          <w:bCs/>
          <w:iCs/>
          <w:noProof/>
          <w:szCs w:val="24"/>
        </w:rPr>
        <w:t xml:space="preserve"> typically presented to Cabinet in June</w:t>
      </w:r>
      <w:r w:rsidR="002368AA">
        <w:rPr>
          <w:rFonts w:cs="Arial"/>
          <w:bCs/>
          <w:iCs/>
          <w:noProof/>
          <w:szCs w:val="24"/>
        </w:rPr>
        <w:t xml:space="preserve">/July, </w:t>
      </w:r>
      <w:r w:rsidRPr="00C10137">
        <w:rPr>
          <w:rFonts w:cs="Arial"/>
          <w:bCs/>
          <w:iCs/>
          <w:noProof/>
          <w:szCs w:val="24"/>
        </w:rPr>
        <w:t xml:space="preserve">provides details of a selection of actual </w:t>
      </w:r>
      <w:r w:rsidR="00DF6F73">
        <w:rPr>
          <w:rFonts w:cs="Arial"/>
          <w:bCs/>
          <w:iCs/>
          <w:noProof/>
          <w:szCs w:val="24"/>
        </w:rPr>
        <w:t>P</w:t>
      </w:r>
      <w:r w:rsidRPr="00C10137">
        <w:rPr>
          <w:rFonts w:cs="Arial"/>
          <w:bCs/>
          <w:iCs/>
          <w:noProof/>
          <w:szCs w:val="24"/>
        </w:rPr>
        <w:t xml:space="preserve">rudential and </w:t>
      </w:r>
      <w:r w:rsidR="00DF6F73">
        <w:rPr>
          <w:rFonts w:cs="Arial"/>
          <w:bCs/>
          <w:iCs/>
          <w:noProof/>
          <w:szCs w:val="24"/>
        </w:rPr>
        <w:t>T</w:t>
      </w:r>
      <w:r w:rsidRPr="00C10137">
        <w:rPr>
          <w:rFonts w:cs="Arial"/>
          <w:bCs/>
          <w:iCs/>
          <w:noProof/>
          <w:szCs w:val="24"/>
        </w:rPr>
        <w:t xml:space="preserve">reasury </w:t>
      </w:r>
      <w:r w:rsidR="00DF6F73">
        <w:rPr>
          <w:rFonts w:cs="Arial"/>
          <w:bCs/>
          <w:iCs/>
          <w:noProof/>
          <w:szCs w:val="24"/>
        </w:rPr>
        <w:t>I</w:t>
      </w:r>
      <w:r w:rsidRPr="00C10137">
        <w:rPr>
          <w:rFonts w:cs="Arial"/>
          <w:bCs/>
          <w:iCs/>
          <w:noProof/>
          <w:szCs w:val="24"/>
        </w:rPr>
        <w:t>ndicators and actual treasury operations compared to the estimates within the TMSS</w:t>
      </w:r>
      <w:r>
        <w:rPr>
          <w:rFonts w:cs="Arial"/>
          <w:bCs/>
          <w:iCs/>
          <w:noProof/>
          <w:szCs w:val="24"/>
        </w:rPr>
        <w:t>.</w:t>
      </w:r>
      <w:r w:rsidR="000058C5" w:rsidRPr="00C10137">
        <w:rPr>
          <w:rFonts w:cs="Arial"/>
          <w:bCs/>
          <w:iCs/>
          <w:noProof/>
          <w:szCs w:val="24"/>
        </w:rPr>
        <w:t xml:space="preserve"> </w:t>
      </w:r>
    </w:p>
    <w:p w14:paraId="797297BB" w14:textId="77777777" w:rsidR="002368AA" w:rsidRDefault="002368AA" w:rsidP="00C57F30">
      <w:pPr>
        <w:ind w:left="567"/>
        <w:jc w:val="both"/>
        <w:rPr>
          <w:rFonts w:cs="Arial"/>
          <w:bCs/>
          <w:iCs/>
          <w:noProof/>
          <w:szCs w:val="24"/>
        </w:rPr>
      </w:pPr>
    </w:p>
    <w:p w14:paraId="7A7D07E7" w14:textId="0185168E" w:rsidR="00C10137" w:rsidRDefault="00934DB0" w:rsidP="00934DB0">
      <w:pPr>
        <w:ind w:left="567"/>
        <w:jc w:val="both"/>
        <w:rPr>
          <w:rFonts w:cs="Arial"/>
          <w:b/>
          <w:szCs w:val="24"/>
        </w:rPr>
      </w:pPr>
      <w:r>
        <w:rPr>
          <w:rFonts w:cs="Arial"/>
          <w:bCs/>
          <w:iCs/>
          <w:noProof/>
          <w:szCs w:val="24"/>
        </w:rPr>
        <w:t>T</w:t>
      </w:r>
      <w:r w:rsidR="002368AA" w:rsidRPr="00934DB0">
        <w:rPr>
          <w:rFonts w:cs="Arial"/>
          <w:bCs/>
          <w:iCs/>
          <w:noProof/>
          <w:szCs w:val="24"/>
        </w:rPr>
        <w:t>his report fulfills this reporting requirement</w:t>
      </w:r>
      <w:r>
        <w:rPr>
          <w:rFonts w:cs="Arial"/>
          <w:bCs/>
          <w:iCs/>
          <w:noProof/>
          <w:szCs w:val="24"/>
        </w:rPr>
        <w:t>.</w:t>
      </w:r>
    </w:p>
    <w:p w14:paraId="3DAC18AA" w14:textId="420679D7" w:rsidR="00C10137" w:rsidRPr="00C10137" w:rsidRDefault="002368AA" w:rsidP="00C10137">
      <w:pPr>
        <w:pStyle w:val="ListParagraph"/>
        <w:ind w:left="567"/>
        <w:jc w:val="both"/>
        <w:rPr>
          <w:rFonts w:cs="Arial"/>
          <w:bCs/>
          <w:szCs w:val="24"/>
        </w:rPr>
      </w:pPr>
      <w:r>
        <w:rPr>
          <w:rFonts w:cs="Arial"/>
          <w:bCs/>
          <w:szCs w:val="24"/>
        </w:rPr>
        <w:tab/>
      </w:r>
    </w:p>
    <w:p w14:paraId="7F38FE5D" w14:textId="0FF2670E" w:rsidR="00C10137" w:rsidRPr="00C10137" w:rsidRDefault="00C10137" w:rsidP="00C57F30">
      <w:pPr>
        <w:pStyle w:val="ListParagraph"/>
        <w:numPr>
          <w:ilvl w:val="1"/>
          <w:numId w:val="18"/>
        </w:numPr>
        <w:ind w:left="567" w:hanging="567"/>
        <w:jc w:val="both"/>
        <w:rPr>
          <w:rFonts w:cs="Arial"/>
          <w:iCs/>
          <w:noProof/>
          <w:szCs w:val="24"/>
        </w:rPr>
      </w:pPr>
      <w:r w:rsidRPr="00C10137">
        <w:rPr>
          <w:rFonts w:cs="Arial"/>
          <w:b/>
          <w:bCs/>
          <w:iCs/>
          <w:noProof/>
          <w:szCs w:val="24"/>
        </w:rPr>
        <w:t>Scrutiny</w:t>
      </w:r>
      <w:r>
        <w:rPr>
          <w:rFonts w:cs="Arial"/>
          <w:b/>
          <w:bCs/>
          <w:iCs/>
          <w:noProof/>
          <w:szCs w:val="24"/>
        </w:rPr>
        <w:t xml:space="preserve"> </w:t>
      </w:r>
      <w:r w:rsidRPr="00C10137">
        <w:rPr>
          <w:rFonts w:cs="Arial"/>
          <w:iCs/>
          <w:noProof/>
          <w:szCs w:val="24"/>
        </w:rPr>
        <w:t xml:space="preserve">– The above reports are required to be adequately scrutinised, normally before being recommended to Cabinet / Council, with the role being undertaken by the Governance, Audit, Risk Management and Standards Committee (GARMS).  The Council has complied with the CIPFA Treasury Management Code of Practice to the extent that all Treasury Management reports have been scrutinised though the efficient conduct of the Council’s business may require </w:t>
      </w:r>
      <w:r w:rsidRPr="00C10137">
        <w:rPr>
          <w:rFonts w:cs="Arial"/>
          <w:iCs/>
          <w:noProof/>
          <w:szCs w:val="24"/>
        </w:rPr>
        <w:lastRenderedPageBreak/>
        <w:t>consideration by GARMS subsequent to consideration by Cabinet/Council</w:t>
      </w:r>
      <w:r>
        <w:rPr>
          <w:rFonts w:cs="Arial"/>
          <w:iCs/>
          <w:noProof/>
          <w:szCs w:val="24"/>
        </w:rPr>
        <w:t xml:space="preserve"> due to </w:t>
      </w:r>
      <w:r w:rsidR="00DF6F73">
        <w:rPr>
          <w:rFonts w:cs="Arial"/>
          <w:iCs/>
          <w:noProof/>
          <w:szCs w:val="24"/>
        </w:rPr>
        <w:t xml:space="preserve">the practicalities of </w:t>
      </w:r>
      <w:r>
        <w:rPr>
          <w:rFonts w:cs="Arial"/>
          <w:iCs/>
          <w:noProof/>
          <w:szCs w:val="24"/>
        </w:rPr>
        <w:t>the committee timetable</w:t>
      </w:r>
      <w:r w:rsidRPr="00C10137">
        <w:rPr>
          <w:rFonts w:cs="Arial"/>
          <w:iCs/>
          <w:noProof/>
          <w:szCs w:val="24"/>
        </w:rPr>
        <w:t xml:space="preserve">. </w:t>
      </w:r>
    </w:p>
    <w:p w14:paraId="48832CD9" w14:textId="77777777" w:rsidR="00C10137" w:rsidRPr="00C10137" w:rsidRDefault="00C10137" w:rsidP="00C57F30">
      <w:pPr>
        <w:pStyle w:val="ListParagraph"/>
        <w:ind w:left="567" w:hanging="567"/>
        <w:jc w:val="both"/>
        <w:rPr>
          <w:rFonts w:cs="Arial"/>
          <w:iCs/>
          <w:noProof/>
          <w:szCs w:val="24"/>
        </w:rPr>
      </w:pPr>
    </w:p>
    <w:p w14:paraId="6B5C4C6F" w14:textId="4CF13740" w:rsidR="00C10137" w:rsidRPr="00105BD0" w:rsidRDefault="00C10137" w:rsidP="00C57F30">
      <w:pPr>
        <w:pStyle w:val="ListParagraph"/>
        <w:numPr>
          <w:ilvl w:val="1"/>
          <w:numId w:val="18"/>
        </w:numPr>
        <w:ind w:left="567" w:hanging="567"/>
        <w:jc w:val="both"/>
        <w:rPr>
          <w:rFonts w:cs="Arial"/>
          <w:iCs/>
          <w:noProof/>
          <w:szCs w:val="24"/>
        </w:rPr>
      </w:pPr>
      <w:r w:rsidRPr="00105BD0">
        <w:rPr>
          <w:rFonts w:cs="Arial"/>
          <w:iCs/>
          <w:noProof/>
          <w:szCs w:val="24"/>
        </w:rPr>
        <w:t xml:space="preserve">The Council has delegated responsibility for the implementation and </w:t>
      </w:r>
      <w:r>
        <w:rPr>
          <w:rFonts w:cs="Arial"/>
          <w:iCs/>
          <w:noProof/>
          <w:szCs w:val="24"/>
        </w:rPr>
        <w:t>regular</w:t>
      </w:r>
      <w:r w:rsidRPr="00105BD0">
        <w:rPr>
          <w:rFonts w:cs="Arial"/>
          <w:iCs/>
          <w:noProof/>
          <w:szCs w:val="24"/>
        </w:rPr>
        <w:t xml:space="preserve"> monitoring of its treasury management policies and practices to the Section 151 </w:t>
      </w:r>
      <w:r>
        <w:rPr>
          <w:rFonts w:cs="Arial"/>
          <w:iCs/>
          <w:noProof/>
          <w:szCs w:val="24"/>
        </w:rPr>
        <w:t>O</w:t>
      </w:r>
      <w:r w:rsidRPr="00105BD0">
        <w:rPr>
          <w:rFonts w:cs="Arial"/>
          <w:iCs/>
          <w:noProof/>
          <w:szCs w:val="24"/>
        </w:rPr>
        <w:t xml:space="preserve">fficer. </w:t>
      </w:r>
      <w:r w:rsidRPr="00C10137">
        <w:rPr>
          <w:rFonts w:cs="Arial"/>
          <w:iCs/>
          <w:noProof/>
          <w:szCs w:val="24"/>
        </w:rPr>
        <w:t>The Section 151 Officer chairs the Treasury Management Group (TMG), which monitors the treasury management activity and market conditions monthly</w:t>
      </w:r>
      <w:r w:rsidRPr="00105BD0">
        <w:rPr>
          <w:rFonts w:cs="Arial"/>
          <w:iCs/>
          <w:noProof/>
          <w:szCs w:val="24"/>
        </w:rPr>
        <w:t xml:space="preserve">. </w:t>
      </w:r>
    </w:p>
    <w:p w14:paraId="6C51361F" w14:textId="77777777" w:rsidR="00C10137" w:rsidRDefault="00C10137" w:rsidP="00C57F30">
      <w:pPr>
        <w:ind w:left="567" w:hanging="567"/>
        <w:jc w:val="both"/>
        <w:rPr>
          <w:rFonts w:cs="Arial"/>
          <w:b/>
          <w:szCs w:val="24"/>
        </w:rPr>
      </w:pPr>
    </w:p>
    <w:p w14:paraId="5609679F" w14:textId="77777777" w:rsidR="00C10137" w:rsidRDefault="00C10137" w:rsidP="00C10137">
      <w:pPr>
        <w:jc w:val="both"/>
        <w:rPr>
          <w:rFonts w:cs="Arial"/>
          <w:b/>
          <w:szCs w:val="24"/>
        </w:rPr>
      </w:pPr>
    </w:p>
    <w:p w14:paraId="2BBA28AC" w14:textId="1C67D11E" w:rsidR="00A556C0" w:rsidRPr="00C10137" w:rsidRDefault="00C10137" w:rsidP="00F54746">
      <w:pPr>
        <w:pStyle w:val="ListParagraph"/>
        <w:numPr>
          <w:ilvl w:val="0"/>
          <w:numId w:val="4"/>
        </w:numPr>
        <w:tabs>
          <w:tab w:val="left" w:pos="567"/>
        </w:tabs>
        <w:ind w:left="567" w:hanging="567"/>
        <w:jc w:val="both"/>
        <w:rPr>
          <w:rFonts w:cs="Arial"/>
          <w:b/>
          <w:szCs w:val="24"/>
          <w:u w:val="single"/>
        </w:rPr>
      </w:pPr>
      <w:r>
        <w:rPr>
          <w:rFonts w:cs="Arial"/>
          <w:b/>
          <w:szCs w:val="24"/>
          <w:u w:val="single"/>
        </w:rPr>
        <w:t>Matters covered in the Report</w:t>
      </w:r>
    </w:p>
    <w:p w14:paraId="610946DD" w14:textId="77777777" w:rsidR="00C10137" w:rsidRPr="00C10137" w:rsidRDefault="00C10137" w:rsidP="00C10137">
      <w:pPr>
        <w:pStyle w:val="ListParagraph"/>
        <w:tabs>
          <w:tab w:val="left" w:pos="567"/>
        </w:tabs>
        <w:ind w:left="567"/>
        <w:jc w:val="both"/>
        <w:rPr>
          <w:rFonts w:cs="Arial"/>
          <w:b/>
          <w:szCs w:val="24"/>
          <w:u w:val="single"/>
        </w:rPr>
      </w:pPr>
    </w:p>
    <w:p w14:paraId="5A25275F" w14:textId="3165D0C5" w:rsidR="00C10137" w:rsidRPr="009E2FDE" w:rsidRDefault="009E2FDE" w:rsidP="009E2FDE">
      <w:pPr>
        <w:pStyle w:val="ListParagraph"/>
        <w:numPr>
          <w:ilvl w:val="0"/>
          <w:numId w:val="4"/>
        </w:numPr>
        <w:tabs>
          <w:tab w:val="left" w:pos="567"/>
        </w:tabs>
        <w:ind w:left="567" w:hanging="567"/>
        <w:jc w:val="both"/>
        <w:rPr>
          <w:rFonts w:cs="Arial"/>
          <w:szCs w:val="24"/>
        </w:rPr>
      </w:pPr>
      <w:r>
        <w:rPr>
          <w:rFonts w:cs="Arial"/>
          <w:szCs w:val="24"/>
        </w:rPr>
        <w:t xml:space="preserve">The </w:t>
      </w:r>
      <w:r w:rsidR="00C10137" w:rsidRPr="009E2FDE">
        <w:rPr>
          <w:rFonts w:cs="Arial"/>
          <w:szCs w:val="24"/>
        </w:rPr>
        <w:t>Treasury Management Outturn Report for 20</w:t>
      </w:r>
      <w:r w:rsidR="00EA40A9">
        <w:rPr>
          <w:rFonts w:cs="Arial"/>
          <w:szCs w:val="24"/>
        </w:rPr>
        <w:t>20/21</w:t>
      </w:r>
      <w:r>
        <w:rPr>
          <w:rFonts w:cs="Arial"/>
          <w:szCs w:val="24"/>
        </w:rPr>
        <w:t xml:space="preserve"> includes a summary of the actual positions in respect of the Authority’s:</w:t>
      </w:r>
    </w:p>
    <w:p w14:paraId="5E645608" w14:textId="77777777"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 xml:space="preserve">Capital Expenditure, Financing and Limits </w:t>
      </w:r>
    </w:p>
    <w:p w14:paraId="4A4547AC" w14:textId="278BAB38"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Treasury Position as at 31st March 202</w:t>
      </w:r>
      <w:r w:rsidR="009E2FDE" w:rsidRPr="00C57F30">
        <w:rPr>
          <w:rFonts w:cs="Arial"/>
          <w:noProof/>
          <w:szCs w:val="24"/>
        </w:rPr>
        <w:t>1</w:t>
      </w:r>
    </w:p>
    <w:p w14:paraId="5EDB785C" w14:textId="622C7DBE"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Summary of 20</w:t>
      </w:r>
      <w:r w:rsidR="009E2FDE" w:rsidRPr="00C57F30">
        <w:rPr>
          <w:rFonts w:cs="Arial"/>
          <w:noProof/>
          <w:szCs w:val="24"/>
        </w:rPr>
        <w:t>20/21</w:t>
      </w:r>
      <w:r w:rsidRPr="00C57F30">
        <w:rPr>
          <w:rFonts w:cs="Arial"/>
          <w:noProof/>
          <w:szCs w:val="24"/>
        </w:rPr>
        <w:t xml:space="preserve"> Strategy</w:t>
      </w:r>
    </w:p>
    <w:p w14:paraId="03A9E33E" w14:textId="561AC518" w:rsidR="009E2FDE" w:rsidRDefault="009E2FDE" w:rsidP="00C57F30">
      <w:pPr>
        <w:numPr>
          <w:ilvl w:val="0"/>
          <w:numId w:val="17"/>
        </w:numPr>
        <w:spacing w:before="45" w:after="45"/>
        <w:ind w:left="851" w:hanging="284"/>
        <w:jc w:val="both"/>
        <w:rPr>
          <w:rFonts w:cs="Arial"/>
          <w:noProof/>
          <w:szCs w:val="24"/>
        </w:rPr>
      </w:pPr>
      <w:r w:rsidRPr="00C57F30">
        <w:rPr>
          <w:rFonts w:cs="Arial"/>
          <w:noProof/>
          <w:szCs w:val="24"/>
        </w:rPr>
        <w:t>Economic update and Interest Rate Forecast for 2020/21  (Appendix</w:t>
      </w:r>
      <w:r w:rsidR="00C57F30">
        <w:rPr>
          <w:rFonts w:cs="Arial"/>
          <w:noProof/>
          <w:szCs w:val="24"/>
        </w:rPr>
        <w:t xml:space="preserve"> </w:t>
      </w:r>
      <w:r w:rsidRPr="00C57F30">
        <w:rPr>
          <w:rFonts w:cs="Arial"/>
          <w:noProof/>
          <w:szCs w:val="24"/>
        </w:rPr>
        <w:t>1)</w:t>
      </w:r>
    </w:p>
    <w:p w14:paraId="6BF18A93" w14:textId="6F5E2A46" w:rsidR="00C57F30" w:rsidRPr="00C57F30" w:rsidRDefault="00C57F30" w:rsidP="00C57F30">
      <w:pPr>
        <w:numPr>
          <w:ilvl w:val="0"/>
          <w:numId w:val="17"/>
        </w:numPr>
        <w:spacing w:before="45" w:after="45"/>
        <w:ind w:left="851" w:hanging="284"/>
        <w:jc w:val="both"/>
        <w:rPr>
          <w:rFonts w:cs="Arial"/>
          <w:noProof/>
          <w:szCs w:val="24"/>
        </w:rPr>
      </w:pPr>
      <w:r>
        <w:rPr>
          <w:rFonts w:cs="Arial"/>
          <w:noProof/>
          <w:szCs w:val="24"/>
        </w:rPr>
        <w:t>Borrowing and Investment Rate Summary for 2020/21 (Appendix 2)</w:t>
      </w:r>
    </w:p>
    <w:p w14:paraId="7C399F15" w14:textId="4EC827E3" w:rsidR="00A2107D" w:rsidRDefault="00A2107D" w:rsidP="003634DA">
      <w:pPr>
        <w:pStyle w:val="ListParagraph"/>
        <w:tabs>
          <w:tab w:val="left" w:pos="567"/>
        </w:tabs>
        <w:ind w:left="567"/>
        <w:jc w:val="both"/>
        <w:rPr>
          <w:rFonts w:cs="Arial"/>
          <w:szCs w:val="24"/>
        </w:rPr>
      </w:pPr>
    </w:p>
    <w:p w14:paraId="6FAF0E06" w14:textId="77777777" w:rsidR="009E2FDE" w:rsidRPr="00DD22D7" w:rsidRDefault="009E2FDE" w:rsidP="003634DA">
      <w:pPr>
        <w:pStyle w:val="ListParagraph"/>
        <w:tabs>
          <w:tab w:val="left" w:pos="567"/>
        </w:tabs>
        <w:ind w:left="567"/>
        <w:jc w:val="both"/>
        <w:rPr>
          <w:rFonts w:cs="Arial"/>
          <w:szCs w:val="24"/>
        </w:rPr>
      </w:pPr>
    </w:p>
    <w:p w14:paraId="521EA08D" w14:textId="30530E0F" w:rsidR="007C5702" w:rsidRPr="00DD22D7" w:rsidRDefault="009E2FDE" w:rsidP="005E4BA2">
      <w:pPr>
        <w:pStyle w:val="ListParagraph"/>
        <w:numPr>
          <w:ilvl w:val="0"/>
          <w:numId w:val="7"/>
        </w:numPr>
        <w:tabs>
          <w:tab w:val="left" w:pos="567"/>
        </w:tabs>
        <w:ind w:left="567" w:hanging="567"/>
        <w:jc w:val="both"/>
        <w:rPr>
          <w:rFonts w:cs="Arial"/>
          <w:b/>
          <w:szCs w:val="24"/>
          <w:u w:val="single"/>
        </w:rPr>
      </w:pPr>
      <w:r>
        <w:rPr>
          <w:rFonts w:cs="Arial"/>
          <w:b/>
          <w:szCs w:val="24"/>
          <w:u w:val="single"/>
        </w:rPr>
        <w:t>Options considered</w:t>
      </w:r>
    </w:p>
    <w:p w14:paraId="484B8B33" w14:textId="77777777" w:rsidR="00DD22D7" w:rsidRPr="00DD22D7" w:rsidRDefault="00DD22D7" w:rsidP="00DD22D7">
      <w:pPr>
        <w:pStyle w:val="ListParagraph"/>
        <w:tabs>
          <w:tab w:val="left" w:pos="567"/>
        </w:tabs>
        <w:ind w:left="567"/>
        <w:jc w:val="both"/>
        <w:rPr>
          <w:rFonts w:cs="Arial"/>
          <w:b/>
          <w:szCs w:val="24"/>
          <w:u w:val="single"/>
        </w:rPr>
      </w:pPr>
    </w:p>
    <w:p w14:paraId="2651DDB3" w14:textId="586306C2" w:rsidR="00A2107D" w:rsidRPr="00DD22D7" w:rsidRDefault="009E2FDE" w:rsidP="005E4BA2">
      <w:pPr>
        <w:pStyle w:val="ListParagraph"/>
        <w:numPr>
          <w:ilvl w:val="1"/>
          <w:numId w:val="12"/>
        </w:numPr>
        <w:tabs>
          <w:tab w:val="left" w:pos="567"/>
        </w:tabs>
        <w:ind w:left="567" w:hanging="567"/>
        <w:jc w:val="both"/>
      </w:pPr>
      <w:r>
        <w:rPr>
          <w:rFonts w:cs="Arial"/>
          <w:szCs w:val="24"/>
        </w:rPr>
        <w:t>The report is in accordance with the reporting requirements of the CIPFA Treasury Management Code of Practice.</w:t>
      </w:r>
    </w:p>
    <w:p w14:paraId="7C188A0C" w14:textId="71553502" w:rsidR="00333BDE" w:rsidRDefault="00333BDE" w:rsidP="003634DA">
      <w:pPr>
        <w:pStyle w:val="ListParagraph"/>
        <w:tabs>
          <w:tab w:val="left" w:pos="567"/>
        </w:tabs>
        <w:ind w:left="567"/>
        <w:jc w:val="both"/>
        <w:rPr>
          <w:rFonts w:cs="Arial"/>
          <w:szCs w:val="24"/>
        </w:rPr>
      </w:pPr>
    </w:p>
    <w:p w14:paraId="23D448CA" w14:textId="315398B6" w:rsidR="00333BDE" w:rsidRPr="00F52080" w:rsidRDefault="00333BDE" w:rsidP="00333BDE">
      <w:pPr>
        <w:pStyle w:val="ListParagraph"/>
        <w:tabs>
          <w:tab w:val="left" w:pos="567"/>
        </w:tabs>
        <w:ind w:left="0"/>
        <w:jc w:val="both"/>
        <w:rPr>
          <w:rFonts w:cs="Arial"/>
          <w:szCs w:val="24"/>
        </w:rPr>
      </w:pPr>
    </w:p>
    <w:p w14:paraId="302069F0" w14:textId="6A2024C3" w:rsidR="009E2FDE" w:rsidRPr="009E2FDE" w:rsidRDefault="009E2FDE" w:rsidP="009E2FDE">
      <w:pPr>
        <w:pStyle w:val="ListParagraph"/>
        <w:numPr>
          <w:ilvl w:val="0"/>
          <w:numId w:val="7"/>
        </w:numPr>
        <w:ind w:left="567" w:hanging="567"/>
        <w:jc w:val="both"/>
        <w:rPr>
          <w:b/>
          <w:szCs w:val="24"/>
          <w:u w:val="single"/>
        </w:rPr>
      </w:pPr>
      <w:r>
        <w:rPr>
          <w:b/>
          <w:szCs w:val="24"/>
          <w:u w:val="single"/>
        </w:rPr>
        <w:t>Treasury Management Outturn Report 2020/21</w:t>
      </w:r>
    </w:p>
    <w:p w14:paraId="3C11B41B" w14:textId="77777777" w:rsidR="002C5BD7" w:rsidRPr="00F52080" w:rsidRDefault="002C5BD7" w:rsidP="00487CDB">
      <w:pPr>
        <w:jc w:val="both"/>
        <w:rPr>
          <w:b/>
          <w:szCs w:val="24"/>
          <w:u w:val="single"/>
        </w:rPr>
      </w:pPr>
    </w:p>
    <w:p w14:paraId="3AF4DF71" w14:textId="1B89B5A3" w:rsidR="00CD062E" w:rsidRDefault="009E2FDE" w:rsidP="004A72C4">
      <w:pPr>
        <w:pStyle w:val="ListParagraph"/>
        <w:numPr>
          <w:ilvl w:val="0"/>
          <w:numId w:val="19"/>
        </w:numPr>
        <w:tabs>
          <w:tab w:val="left" w:pos="567"/>
        </w:tabs>
        <w:ind w:left="567" w:hanging="567"/>
        <w:jc w:val="both"/>
        <w:rPr>
          <w:rFonts w:cs="Arial"/>
          <w:bCs/>
          <w:szCs w:val="24"/>
        </w:rPr>
      </w:pPr>
      <w:r w:rsidRPr="009E2FDE">
        <w:rPr>
          <w:rFonts w:cs="Arial"/>
          <w:bCs/>
          <w:szCs w:val="24"/>
        </w:rPr>
        <w:t>The Treasury Management Strategy Statement, (TMSS), for 20</w:t>
      </w:r>
      <w:r>
        <w:rPr>
          <w:rFonts w:cs="Arial"/>
          <w:bCs/>
          <w:szCs w:val="24"/>
        </w:rPr>
        <w:t>20/21</w:t>
      </w:r>
      <w:r w:rsidRPr="009E2FDE">
        <w:rPr>
          <w:rFonts w:cs="Arial"/>
          <w:bCs/>
          <w:szCs w:val="24"/>
        </w:rPr>
        <w:t xml:space="preserve"> was approved by Council </w:t>
      </w:r>
      <w:r w:rsidR="00FC000E">
        <w:rPr>
          <w:rFonts w:cs="Arial"/>
          <w:bCs/>
          <w:szCs w:val="24"/>
        </w:rPr>
        <w:t>in February 2020</w:t>
      </w:r>
      <w:r w:rsidRPr="009E2FDE">
        <w:rPr>
          <w:rFonts w:cs="Arial"/>
          <w:bCs/>
          <w:szCs w:val="24"/>
        </w:rPr>
        <w:t xml:space="preserve"> . It stated that for the next three years the Capital Programme would continue to be funded from grants and revenue resources but that substantial borrowing would also be required.</w:t>
      </w:r>
    </w:p>
    <w:p w14:paraId="29A1D2E7" w14:textId="77777777" w:rsidR="009E2FDE" w:rsidRPr="009E2FDE" w:rsidRDefault="009E2FDE" w:rsidP="009E2FDE">
      <w:pPr>
        <w:pStyle w:val="ListParagraph"/>
        <w:tabs>
          <w:tab w:val="left" w:pos="567"/>
        </w:tabs>
        <w:ind w:left="567" w:hanging="1287"/>
        <w:jc w:val="both"/>
        <w:rPr>
          <w:rFonts w:cs="Arial"/>
          <w:bCs/>
          <w:szCs w:val="24"/>
        </w:rPr>
      </w:pPr>
    </w:p>
    <w:p w14:paraId="6963CCA6" w14:textId="1C928DF5" w:rsidR="00333FAA" w:rsidRPr="009E2FDE" w:rsidRDefault="00BC74D1" w:rsidP="006A200B">
      <w:pPr>
        <w:pStyle w:val="Heading2"/>
        <w:ind w:left="567" w:hanging="567"/>
        <w:jc w:val="both"/>
        <w:rPr>
          <w:sz w:val="24"/>
          <w:szCs w:val="24"/>
          <w:u w:val="single"/>
        </w:rPr>
      </w:pPr>
      <w:r w:rsidRPr="00F52080">
        <w:rPr>
          <w:b w:val="0"/>
          <w:sz w:val="24"/>
          <w:szCs w:val="24"/>
        </w:rPr>
        <w:t>6</w:t>
      </w:r>
      <w:r w:rsidR="004C0103" w:rsidRPr="00F52080">
        <w:rPr>
          <w:b w:val="0"/>
          <w:sz w:val="24"/>
          <w:szCs w:val="24"/>
        </w:rPr>
        <w:t>.0</w:t>
      </w:r>
      <w:r w:rsidR="00A80770" w:rsidRPr="00F52080">
        <w:rPr>
          <w:sz w:val="24"/>
          <w:szCs w:val="24"/>
        </w:rPr>
        <w:t xml:space="preserve">    </w:t>
      </w:r>
      <w:r w:rsidR="009E2FDE" w:rsidRPr="009E2FDE">
        <w:rPr>
          <w:sz w:val="24"/>
          <w:szCs w:val="24"/>
          <w:u w:val="single"/>
        </w:rPr>
        <w:t>The Council’s Capital Expenditure and Financing</w:t>
      </w:r>
    </w:p>
    <w:p w14:paraId="3D5CC067" w14:textId="77777777" w:rsidR="009E2FDE" w:rsidRPr="009E2FDE" w:rsidRDefault="009E2FDE" w:rsidP="009E2FDE"/>
    <w:p w14:paraId="4E0530C8" w14:textId="520408E0" w:rsidR="009E2FDE" w:rsidRP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t>The Council undertakes capital expenditure on long-term assets.  These activities may either be:</w:t>
      </w:r>
    </w:p>
    <w:p w14:paraId="382D463E" w14:textId="77777777" w:rsidR="009E2FDE" w:rsidRPr="00C57F30" w:rsidRDefault="009E2FDE" w:rsidP="00C57F30">
      <w:pPr>
        <w:numPr>
          <w:ilvl w:val="0"/>
          <w:numId w:val="17"/>
        </w:numPr>
        <w:spacing w:before="45" w:after="45"/>
        <w:ind w:left="851" w:hanging="284"/>
        <w:jc w:val="both"/>
        <w:rPr>
          <w:rFonts w:cs="Arial"/>
          <w:noProof/>
          <w:szCs w:val="24"/>
        </w:rPr>
      </w:pPr>
      <w:r w:rsidRPr="00C57F30">
        <w:rPr>
          <w:rFonts w:cs="Arial"/>
          <w:noProof/>
          <w:szCs w:val="24"/>
        </w:rPr>
        <w:t>Financed immediately through the application of capital or revenue resources (capital receipts, capital grants, revenue contributions etc.), which has no resultant impact on the Council’s borrowing need; or</w:t>
      </w:r>
    </w:p>
    <w:p w14:paraId="33768F9D" w14:textId="77777777" w:rsidR="009D2F59" w:rsidRDefault="009E2FDE" w:rsidP="00C57F30">
      <w:pPr>
        <w:numPr>
          <w:ilvl w:val="0"/>
          <w:numId w:val="17"/>
        </w:numPr>
        <w:spacing w:before="45" w:after="45"/>
        <w:ind w:left="851" w:hanging="284"/>
        <w:jc w:val="both"/>
        <w:rPr>
          <w:rFonts w:cs="Arial"/>
          <w:noProof/>
          <w:szCs w:val="24"/>
        </w:rPr>
      </w:pPr>
      <w:r w:rsidRPr="00C57F30">
        <w:rPr>
          <w:rFonts w:cs="Arial"/>
          <w:noProof/>
          <w:szCs w:val="24"/>
        </w:rPr>
        <w:t xml:space="preserve">If insufficient financing is available, or a decision is taken not to apply resources, the capital expenditure will give rise to a borrowing need. </w:t>
      </w:r>
    </w:p>
    <w:p w14:paraId="3BEC8D58" w14:textId="27E9127A" w:rsidR="009E2FDE" w:rsidRPr="00C57F30" w:rsidRDefault="009E2FDE" w:rsidP="009D2F59">
      <w:pPr>
        <w:spacing w:before="45" w:after="45"/>
        <w:ind w:left="851"/>
        <w:jc w:val="both"/>
        <w:rPr>
          <w:rFonts w:cs="Arial"/>
          <w:noProof/>
          <w:szCs w:val="24"/>
        </w:rPr>
      </w:pPr>
      <w:r w:rsidRPr="00C57F30">
        <w:rPr>
          <w:rFonts w:cs="Arial"/>
          <w:noProof/>
          <w:szCs w:val="24"/>
        </w:rPr>
        <w:t xml:space="preserve"> </w:t>
      </w:r>
    </w:p>
    <w:p w14:paraId="7CF7341E" w14:textId="6A925170" w:rsid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t>The actual capital expenditure forms one of the required prudential indicators.  The tables below show the actual capital expenditure for 20</w:t>
      </w:r>
      <w:r w:rsidR="00BA18FA">
        <w:rPr>
          <w:rFonts w:cs="Arial"/>
          <w:bCs/>
          <w:szCs w:val="24"/>
        </w:rPr>
        <w:t>20/21</w:t>
      </w:r>
      <w:r w:rsidRPr="009E2FDE">
        <w:rPr>
          <w:rFonts w:cs="Arial"/>
          <w:bCs/>
          <w:szCs w:val="24"/>
        </w:rPr>
        <w:t xml:space="preserve"> against that budgeted and how this was financed.</w:t>
      </w:r>
    </w:p>
    <w:p w14:paraId="0A4B354B" w14:textId="41943626" w:rsidR="002368AA" w:rsidRDefault="002368AA" w:rsidP="002368AA">
      <w:pPr>
        <w:pStyle w:val="ListParagraph"/>
        <w:tabs>
          <w:tab w:val="left" w:pos="567"/>
        </w:tabs>
        <w:ind w:left="567"/>
        <w:jc w:val="both"/>
        <w:rPr>
          <w:rFonts w:cs="Arial"/>
          <w:bCs/>
          <w:szCs w:val="24"/>
        </w:rPr>
      </w:pPr>
    </w:p>
    <w:p w14:paraId="6DEE1735" w14:textId="61FD506D" w:rsidR="005C2738" w:rsidRDefault="005C2738" w:rsidP="002368AA">
      <w:pPr>
        <w:pStyle w:val="ListParagraph"/>
        <w:tabs>
          <w:tab w:val="left" w:pos="567"/>
        </w:tabs>
        <w:ind w:left="567"/>
        <w:jc w:val="both"/>
        <w:rPr>
          <w:rFonts w:cs="Arial"/>
          <w:bCs/>
          <w:szCs w:val="24"/>
        </w:rPr>
      </w:pPr>
    </w:p>
    <w:p w14:paraId="4E034F52" w14:textId="7006E1F1" w:rsidR="005C2738" w:rsidRDefault="005C2738" w:rsidP="002368AA">
      <w:pPr>
        <w:pStyle w:val="ListParagraph"/>
        <w:tabs>
          <w:tab w:val="left" w:pos="567"/>
        </w:tabs>
        <w:ind w:left="567"/>
        <w:jc w:val="both"/>
        <w:rPr>
          <w:rFonts w:cs="Arial"/>
          <w:bCs/>
          <w:szCs w:val="24"/>
        </w:rPr>
      </w:pPr>
    </w:p>
    <w:p w14:paraId="5316BCA2" w14:textId="2A4F63DA" w:rsidR="005C2738" w:rsidRDefault="005C2738" w:rsidP="002368AA">
      <w:pPr>
        <w:pStyle w:val="ListParagraph"/>
        <w:tabs>
          <w:tab w:val="left" w:pos="567"/>
        </w:tabs>
        <w:ind w:left="567"/>
        <w:jc w:val="both"/>
        <w:rPr>
          <w:rFonts w:cs="Arial"/>
          <w:bCs/>
          <w:szCs w:val="24"/>
        </w:rPr>
      </w:pPr>
    </w:p>
    <w:p w14:paraId="42B6633C" w14:textId="6A09C1BF" w:rsidR="005C2738" w:rsidRDefault="005C2738" w:rsidP="002368AA">
      <w:pPr>
        <w:pStyle w:val="ListParagraph"/>
        <w:tabs>
          <w:tab w:val="left" w:pos="567"/>
        </w:tabs>
        <w:ind w:left="567"/>
        <w:jc w:val="both"/>
        <w:rPr>
          <w:rFonts w:cs="Arial"/>
          <w:bCs/>
          <w:szCs w:val="24"/>
        </w:rPr>
      </w:pPr>
    </w:p>
    <w:p w14:paraId="135AAB22" w14:textId="1863FCAA" w:rsidR="005C2738" w:rsidRDefault="005C2738" w:rsidP="002368AA">
      <w:pPr>
        <w:pStyle w:val="ListParagraph"/>
        <w:tabs>
          <w:tab w:val="left" w:pos="567"/>
        </w:tabs>
        <w:ind w:left="567"/>
        <w:jc w:val="both"/>
        <w:rPr>
          <w:rFonts w:cs="Arial"/>
          <w:bCs/>
          <w:szCs w:val="24"/>
        </w:rPr>
      </w:pPr>
    </w:p>
    <w:p w14:paraId="4EE0B9E8" w14:textId="77777777" w:rsidR="005C2738" w:rsidRPr="009E2FDE" w:rsidRDefault="005C2738" w:rsidP="002368AA">
      <w:pPr>
        <w:pStyle w:val="ListParagraph"/>
        <w:tabs>
          <w:tab w:val="left" w:pos="567"/>
        </w:tabs>
        <w:ind w:left="567"/>
        <w:jc w:val="both"/>
        <w:rPr>
          <w:rFonts w:cs="Arial"/>
          <w:bCs/>
          <w:szCs w:val="24"/>
        </w:rPr>
      </w:pPr>
    </w:p>
    <w:p w14:paraId="32976A38" w14:textId="2E5EBF55" w:rsidR="009E2FDE" w:rsidRPr="00951EBF" w:rsidRDefault="009E2FDE" w:rsidP="002368AA">
      <w:pPr>
        <w:pStyle w:val="BodyText"/>
        <w:tabs>
          <w:tab w:val="left" w:pos="360"/>
        </w:tabs>
        <w:spacing w:before="60"/>
        <w:rPr>
          <w:i w:val="0"/>
          <w:iCs w:val="0"/>
          <w:color w:val="0D0D0D" w:themeColor="text1" w:themeTint="F2"/>
          <w:sz w:val="20"/>
          <w:szCs w:val="18"/>
        </w:rPr>
      </w:pPr>
      <w:r w:rsidRPr="00951EBF">
        <w:rPr>
          <w:i w:val="0"/>
          <w:iCs w:val="0"/>
          <w:color w:val="0D0D0D" w:themeColor="text1" w:themeTint="F2"/>
          <w:sz w:val="20"/>
          <w:szCs w:val="18"/>
        </w:rPr>
        <w:t>Table 1: Capital Expenditure</w:t>
      </w:r>
    </w:p>
    <w:p w14:paraId="34AEEF65" w14:textId="6D413BE2" w:rsidR="005641E0" w:rsidRDefault="00BA18FA" w:rsidP="00BA18FA">
      <w:pPr>
        <w:ind w:left="709" w:hanging="709"/>
        <w:jc w:val="center"/>
        <w:rPr>
          <w:szCs w:val="24"/>
        </w:rPr>
      </w:pPr>
      <w:r w:rsidRPr="00BA18FA">
        <w:rPr>
          <w:noProof/>
        </w:rPr>
        <w:drawing>
          <wp:inline distT="0" distB="0" distL="0" distR="0" wp14:anchorId="7BF28F60" wp14:editId="364BC08A">
            <wp:extent cx="6441688" cy="1647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1688" cy="1647825"/>
                    </a:xfrm>
                    <a:prstGeom prst="rect">
                      <a:avLst/>
                    </a:prstGeom>
                    <a:noFill/>
                    <a:ln>
                      <a:noFill/>
                    </a:ln>
                  </pic:spPr>
                </pic:pic>
              </a:graphicData>
            </a:graphic>
          </wp:inline>
        </w:drawing>
      </w:r>
    </w:p>
    <w:p w14:paraId="65FEAAB3" w14:textId="75E779BA" w:rsidR="00BA18FA" w:rsidRDefault="00BA18FA" w:rsidP="00BA18FA">
      <w:pPr>
        <w:ind w:left="709" w:hanging="709"/>
        <w:rPr>
          <w:szCs w:val="24"/>
        </w:rPr>
      </w:pPr>
    </w:p>
    <w:p w14:paraId="19862336" w14:textId="77777777" w:rsidR="00BA18FA" w:rsidRPr="00951EBF" w:rsidRDefault="00BA18FA" w:rsidP="002368AA">
      <w:pPr>
        <w:pStyle w:val="BodyText"/>
        <w:tabs>
          <w:tab w:val="left" w:pos="360"/>
        </w:tabs>
        <w:spacing w:before="60"/>
        <w:rPr>
          <w:i w:val="0"/>
          <w:iCs w:val="0"/>
          <w:color w:val="0D0D0D" w:themeColor="text1" w:themeTint="F2"/>
          <w:sz w:val="20"/>
          <w:szCs w:val="18"/>
        </w:rPr>
      </w:pPr>
      <w:r w:rsidRPr="00951EBF">
        <w:rPr>
          <w:i w:val="0"/>
          <w:iCs w:val="0"/>
          <w:color w:val="0D0D0D" w:themeColor="text1" w:themeTint="F2"/>
          <w:sz w:val="20"/>
          <w:szCs w:val="18"/>
        </w:rPr>
        <w:t>Table 2: Financing of Capital Expenditure</w:t>
      </w:r>
    </w:p>
    <w:p w14:paraId="4C35D991" w14:textId="52D521E9" w:rsidR="00BA18FA" w:rsidRDefault="004A72C4" w:rsidP="00BA18FA">
      <w:pPr>
        <w:ind w:left="709" w:hanging="709"/>
        <w:rPr>
          <w:szCs w:val="24"/>
        </w:rPr>
      </w:pPr>
      <w:r w:rsidRPr="004A72C4">
        <w:rPr>
          <w:noProof/>
        </w:rPr>
        <w:drawing>
          <wp:inline distT="0" distB="0" distL="0" distR="0" wp14:anchorId="7CC458F8" wp14:editId="347843DF">
            <wp:extent cx="4667250" cy="18884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2160" cy="1894516"/>
                    </a:xfrm>
                    <a:prstGeom prst="rect">
                      <a:avLst/>
                    </a:prstGeom>
                    <a:noFill/>
                    <a:ln>
                      <a:noFill/>
                    </a:ln>
                  </pic:spPr>
                </pic:pic>
              </a:graphicData>
            </a:graphic>
          </wp:inline>
        </w:drawing>
      </w:r>
    </w:p>
    <w:p w14:paraId="5582B69E" w14:textId="13DE75A0" w:rsidR="004A72C4" w:rsidRDefault="004A72C4" w:rsidP="00BA18FA">
      <w:pPr>
        <w:ind w:left="709" w:hanging="709"/>
        <w:rPr>
          <w:szCs w:val="24"/>
        </w:rPr>
      </w:pPr>
    </w:p>
    <w:p w14:paraId="09DC3F5F" w14:textId="5E44BDEC" w:rsidR="004A72C4" w:rsidRPr="004A72C4" w:rsidRDefault="004A72C4" w:rsidP="004A72C4">
      <w:pPr>
        <w:pStyle w:val="ListParagraph"/>
        <w:numPr>
          <w:ilvl w:val="0"/>
          <w:numId w:val="21"/>
        </w:numPr>
        <w:tabs>
          <w:tab w:val="left" w:pos="567"/>
        </w:tabs>
        <w:ind w:left="567" w:hanging="567"/>
        <w:jc w:val="both"/>
        <w:rPr>
          <w:rFonts w:cs="Arial"/>
          <w:bCs/>
          <w:szCs w:val="24"/>
        </w:rPr>
      </w:pPr>
      <w:r w:rsidRPr="004A72C4">
        <w:rPr>
          <w:rFonts w:cs="Arial"/>
          <w:bCs/>
          <w:szCs w:val="24"/>
        </w:rPr>
        <w:t xml:space="preserve">Further details of the capital expenditure position </w:t>
      </w:r>
      <w:r w:rsidR="00D01D88">
        <w:rPr>
          <w:rFonts w:cs="Arial"/>
          <w:bCs/>
          <w:szCs w:val="24"/>
        </w:rPr>
        <w:t>were</w:t>
      </w:r>
      <w:r w:rsidRPr="004A72C4">
        <w:rPr>
          <w:rFonts w:cs="Arial"/>
          <w:bCs/>
          <w:szCs w:val="24"/>
        </w:rPr>
        <w:t xml:space="preserve"> included within the Revenue and Capital Outturn Report </w:t>
      </w:r>
      <w:r>
        <w:rPr>
          <w:rFonts w:cs="Arial"/>
          <w:bCs/>
          <w:szCs w:val="24"/>
        </w:rPr>
        <w:t>2020/21</w:t>
      </w:r>
      <w:r w:rsidR="00D01D88">
        <w:rPr>
          <w:rFonts w:cs="Arial"/>
          <w:bCs/>
          <w:szCs w:val="24"/>
        </w:rPr>
        <w:t xml:space="preserve"> which was submitted to Cabinet in June 2021</w:t>
      </w:r>
      <w:r w:rsidRPr="004A72C4">
        <w:rPr>
          <w:rFonts w:cs="Arial"/>
          <w:bCs/>
          <w:szCs w:val="24"/>
        </w:rPr>
        <w:t xml:space="preserve">. </w:t>
      </w:r>
    </w:p>
    <w:p w14:paraId="58532C6D" w14:textId="77777777" w:rsidR="004A72C4" w:rsidRPr="00F52080" w:rsidRDefault="004A72C4" w:rsidP="00BA18FA">
      <w:pPr>
        <w:ind w:left="709" w:hanging="709"/>
        <w:rPr>
          <w:szCs w:val="24"/>
        </w:rPr>
      </w:pPr>
    </w:p>
    <w:p w14:paraId="70806613" w14:textId="5876787E" w:rsidR="00333FAA" w:rsidRPr="004A72C4" w:rsidRDefault="00BC74D1" w:rsidP="003634DA">
      <w:pPr>
        <w:pStyle w:val="Heading4"/>
        <w:tabs>
          <w:tab w:val="left" w:pos="567"/>
        </w:tabs>
        <w:jc w:val="both"/>
        <w:rPr>
          <w:szCs w:val="24"/>
          <w:u w:val="single"/>
        </w:rPr>
      </w:pPr>
      <w:r w:rsidRPr="00F52080">
        <w:rPr>
          <w:b w:val="0"/>
          <w:szCs w:val="24"/>
        </w:rPr>
        <w:t>7</w:t>
      </w:r>
      <w:r w:rsidR="004C0103" w:rsidRPr="00F52080">
        <w:rPr>
          <w:b w:val="0"/>
          <w:szCs w:val="24"/>
        </w:rPr>
        <w:t>.0</w:t>
      </w:r>
      <w:r w:rsidR="004C0103" w:rsidRPr="00F52080">
        <w:rPr>
          <w:b w:val="0"/>
          <w:szCs w:val="24"/>
        </w:rPr>
        <w:tab/>
      </w:r>
      <w:r w:rsidR="004A72C4" w:rsidRPr="004A72C4">
        <w:rPr>
          <w:szCs w:val="24"/>
          <w:u w:val="single"/>
        </w:rPr>
        <w:t>The Councils Overall Borrowing Need</w:t>
      </w:r>
    </w:p>
    <w:p w14:paraId="3516F3B6" w14:textId="77777777" w:rsidR="002F6F08" w:rsidRPr="00F52080" w:rsidRDefault="002F6F08" w:rsidP="003634DA">
      <w:pPr>
        <w:tabs>
          <w:tab w:val="left" w:pos="7245"/>
        </w:tabs>
        <w:ind w:left="567"/>
        <w:jc w:val="both"/>
        <w:rPr>
          <w:szCs w:val="24"/>
        </w:rPr>
      </w:pPr>
    </w:p>
    <w:p w14:paraId="127C5DE5" w14:textId="194B9CBB" w:rsidR="004A72C4" w:rsidRDefault="004A72C4" w:rsidP="004A72C4">
      <w:pPr>
        <w:pStyle w:val="ListParagraph"/>
        <w:numPr>
          <w:ilvl w:val="0"/>
          <w:numId w:val="22"/>
        </w:numPr>
        <w:tabs>
          <w:tab w:val="left" w:pos="567"/>
        </w:tabs>
        <w:ind w:left="567" w:hanging="567"/>
        <w:jc w:val="both"/>
        <w:rPr>
          <w:rFonts w:cs="Arial"/>
          <w:bCs/>
          <w:szCs w:val="24"/>
        </w:rPr>
      </w:pPr>
      <w:r w:rsidRPr="004A72C4">
        <w:rPr>
          <w:rFonts w:cs="Arial"/>
          <w:bCs/>
          <w:szCs w:val="24"/>
        </w:rPr>
        <w:t>The Council’s underlying need to borrow to finance capital expenditure is termed the Capital Financing Requirement (CFR).  The CFR increases within any net financing need for the year and reduces through the application of resources, including an annual charge to the revenue budget, the Minimum Revenue Provision (MRP).</w:t>
      </w:r>
    </w:p>
    <w:p w14:paraId="04C86C88" w14:textId="77777777" w:rsidR="004A72C4" w:rsidRPr="004A72C4" w:rsidRDefault="004A72C4" w:rsidP="004A72C4">
      <w:pPr>
        <w:pStyle w:val="ListParagraph"/>
        <w:tabs>
          <w:tab w:val="left" w:pos="567"/>
        </w:tabs>
        <w:ind w:left="567"/>
        <w:jc w:val="both"/>
        <w:rPr>
          <w:rFonts w:cs="Arial"/>
          <w:bCs/>
          <w:szCs w:val="24"/>
        </w:rPr>
      </w:pPr>
    </w:p>
    <w:p w14:paraId="12BA4D36" w14:textId="77777777" w:rsidR="002368AA" w:rsidRPr="000F048D" w:rsidRDefault="004A72C4"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 xml:space="preserve">Gross Debt and the CFR </w:t>
      </w:r>
    </w:p>
    <w:p w14:paraId="6D1B1F60" w14:textId="36720394" w:rsidR="004A72C4" w:rsidRDefault="004A72C4" w:rsidP="00E9006F">
      <w:pPr>
        <w:pStyle w:val="ListParagraph"/>
        <w:numPr>
          <w:ilvl w:val="0"/>
          <w:numId w:val="22"/>
        </w:numPr>
        <w:tabs>
          <w:tab w:val="left" w:pos="567"/>
        </w:tabs>
        <w:ind w:left="567" w:hanging="567"/>
        <w:jc w:val="both"/>
        <w:rPr>
          <w:rFonts w:cs="Arial"/>
          <w:bCs/>
          <w:szCs w:val="24"/>
        </w:rPr>
      </w:pPr>
      <w:r w:rsidRPr="002368AA">
        <w:rPr>
          <w:rFonts w:cs="Arial"/>
          <w:bCs/>
          <w:szCs w:val="24"/>
        </w:rPr>
        <w:t>In order to ensure that borrowing levels are prudent over the medium term and only for a capital purpose, the Council should ensure that its gross external debt (borrowing plus other long term liabilities such as PFI and Finance Leases) does not, except in the short term, exceed the total CFR in the preceding year (20</w:t>
      </w:r>
      <w:r w:rsidR="002368AA">
        <w:rPr>
          <w:rFonts w:cs="Arial"/>
          <w:bCs/>
          <w:szCs w:val="24"/>
        </w:rPr>
        <w:t>20</w:t>
      </w:r>
      <w:r w:rsidRPr="002368AA">
        <w:rPr>
          <w:rFonts w:cs="Arial"/>
          <w:bCs/>
          <w:szCs w:val="24"/>
        </w:rPr>
        <w:t>/2</w:t>
      </w:r>
      <w:r w:rsidR="002368AA">
        <w:rPr>
          <w:rFonts w:cs="Arial"/>
          <w:bCs/>
          <w:szCs w:val="24"/>
        </w:rPr>
        <w:t>1</w:t>
      </w:r>
      <w:r w:rsidRPr="002368AA">
        <w:rPr>
          <w:rFonts w:cs="Arial"/>
          <w:bCs/>
          <w:szCs w:val="24"/>
        </w:rPr>
        <w:t>) plus the estimates of any additional borrowing requirement for the current (202</w:t>
      </w:r>
      <w:r w:rsidR="002368AA">
        <w:rPr>
          <w:rFonts w:cs="Arial"/>
          <w:bCs/>
          <w:szCs w:val="24"/>
        </w:rPr>
        <w:t>1</w:t>
      </w:r>
      <w:r w:rsidRPr="002368AA">
        <w:rPr>
          <w:rFonts w:cs="Arial"/>
          <w:bCs/>
          <w:szCs w:val="24"/>
        </w:rPr>
        <w:t>/2</w:t>
      </w:r>
      <w:r w:rsidR="002368AA">
        <w:rPr>
          <w:rFonts w:cs="Arial"/>
          <w:bCs/>
          <w:szCs w:val="24"/>
        </w:rPr>
        <w:t>2</w:t>
      </w:r>
      <w:r w:rsidRPr="002368AA">
        <w:rPr>
          <w:rFonts w:cs="Arial"/>
          <w:bCs/>
          <w:szCs w:val="24"/>
        </w:rPr>
        <w:t>) and next two financial years.  This essentially means that the Council is not borrowing to support revenue expenditure.</w:t>
      </w:r>
      <w:r w:rsidR="002368AA">
        <w:rPr>
          <w:rFonts w:cs="Arial"/>
          <w:bCs/>
          <w:szCs w:val="24"/>
        </w:rPr>
        <w:t xml:space="preserve">  </w:t>
      </w:r>
      <w:r w:rsidRPr="002368AA">
        <w:rPr>
          <w:rFonts w:cs="Arial"/>
          <w:bCs/>
          <w:szCs w:val="24"/>
        </w:rPr>
        <w:t xml:space="preserve">The table below highlights the Council’s gross debt position against the CFR in 2019/20.  The Council has complied with this </w:t>
      </w:r>
      <w:r w:rsidR="008D3FFB">
        <w:rPr>
          <w:rFonts w:cs="Arial"/>
          <w:bCs/>
          <w:szCs w:val="24"/>
        </w:rPr>
        <w:t>P</w:t>
      </w:r>
      <w:r w:rsidRPr="002368AA">
        <w:rPr>
          <w:rFonts w:cs="Arial"/>
          <w:bCs/>
          <w:szCs w:val="24"/>
        </w:rPr>
        <w:t xml:space="preserve">rudential </w:t>
      </w:r>
      <w:r w:rsidR="008D3FFB">
        <w:rPr>
          <w:rFonts w:cs="Arial"/>
          <w:bCs/>
          <w:szCs w:val="24"/>
        </w:rPr>
        <w:t>I</w:t>
      </w:r>
      <w:r w:rsidRPr="002368AA">
        <w:rPr>
          <w:rFonts w:cs="Arial"/>
          <w:bCs/>
          <w:szCs w:val="24"/>
        </w:rPr>
        <w:t>ndicator.</w:t>
      </w:r>
    </w:p>
    <w:p w14:paraId="117A3F15" w14:textId="422619A8" w:rsidR="005C2738" w:rsidRDefault="005C2738" w:rsidP="005C2738">
      <w:pPr>
        <w:tabs>
          <w:tab w:val="left" w:pos="567"/>
        </w:tabs>
        <w:jc w:val="both"/>
        <w:rPr>
          <w:rFonts w:cs="Arial"/>
          <w:bCs/>
          <w:szCs w:val="24"/>
        </w:rPr>
      </w:pPr>
    </w:p>
    <w:p w14:paraId="4AB315CD" w14:textId="53583628" w:rsidR="005C2738" w:rsidRDefault="005C2738" w:rsidP="005C2738">
      <w:pPr>
        <w:tabs>
          <w:tab w:val="left" w:pos="567"/>
        </w:tabs>
        <w:jc w:val="both"/>
        <w:rPr>
          <w:rFonts w:cs="Arial"/>
          <w:bCs/>
          <w:szCs w:val="24"/>
        </w:rPr>
      </w:pPr>
    </w:p>
    <w:p w14:paraId="7A2290D1" w14:textId="1B1A9E89" w:rsidR="005C2738" w:rsidRDefault="005C2738" w:rsidP="005C2738">
      <w:pPr>
        <w:tabs>
          <w:tab w:val="left" w:pos="567"/>
        </w:tabs>
        <w:jc w:val="both"/>
        <w:rPr>
          <w:rFonts w:cs="Arial"/>
          <w:bCs/>
          <w:szCs w:val="24"/>
        </w:rPr>
      </w:pPr>
    </w:p>
    <w:p w14:paraId="6740A3F1" w14:textId="35DE3AE7" w:rsidR="005C2738" w:rsidRDefault="005C2738" w:rsidP="005C2738">
      <w:pPr>
        <w:tabs>
          <w:tab w:val="left" w:pos="567"/>
        </w:tabs>
        <w:jc w:val="both"/>
        <w:rPr>
          <w:rFonts w:cs="Arial"/>
          <w:bCs/>
          <w:szCs w:val="24"/>
        </w:rPr>
      </w:pPr>
    </w:p>
    <w:p w14:paraId="2C36EBC8" w14:textId="442F01D7" w:rsidR="004E536E" w:rsidRPr="007F4445" w:rsidRDefault="004E536E" w:rsidP="004A72C4">
      <w:pPr>
        <w:pStyle w:val="ListParagraph"/>
        <w:tabs>
          <w:tab w:val="left" w:pos="567"/>
        </w:tabs>
        <w:ind w:left="567"/>
        <w:jc w:val="both"/>
        <w:rPr>
          <w:rFonts w:cs="Arial"/>
          <w:bCs/>
          <w:sz w:val="20"/>
        </w:rPr>
      </w:pPr>
      <w:r w:rsidRPr="007F4445">
        <w:rPr>
          <w:rFonts w:cs="Arial"/>
          <w:bCs/>
          <w:sz w:val="20"/>
        </w:rPr>
        <w:lastRenderedPageBreak/>
        <w:t>Table 3: Gross Debt and CFR</w:t>
      </w:r>
    </w:p>
    <w:p w14:paraId="30BEB823" w14:textId="69D409E3" w:rsidR="004E536E" w:rsidRPr="004A72C4" w:rsidRDefault="007F4445" w:rsidP="004A72C4">
      <w:pPr>
        <w:pStyle w:val="ListParagraph"/>
        <w:tabs>
          <w:tab w:val="left" w:pos="567"/>
        </w:tabs>
        <w:ind w:left="567"/>
        <w:jc w:val="both"/>
        <w:rPr>
          <w:rFonts w:cs="Arial"/>
          <w:bCs/>
          <w:szCs w:val="24"/>
        </w:rPr>
      </w:pPr>
      <w:r w:rsidRPr="007F4445">
        <w:rPr>
          <w:noProof/>
        </w:rPr>
        <w:drawing>
          <wp:inline distT="0" distB="0" distL="0" distR="0" wp14:anchorId="7D64DCE7" wp14:editId="747C9103">
            <wp:extent cx="39909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0975" cy="1343025"/>
                    </a:xfrm>
                    <a:prstGeom prst="rect">
                      <a:avLst/>
                    </a:prstGeom>
                    <a:noFill/>
                    <a:ln>
                      <a:noFill/>
                    </a:ln>
                  </pic:spPr>
                </pic:pic>
              </a:graphicData>
            </a:graphic>
          </wp:inline>
        </w:drawing>
      </w:r>
    </w:p>
    <w:p w14:paraId="6C865DE3" w14:textId="448F85EF" w:rsidR="004A72C4" w:rsidRDefault="004A72C4" w:rsidP="004A72C4">
      <w:pPr>
        <w:tabs>
          <w:tab w:val="left" w:pos="567"/>
        </w:tabs>
        <w:jc w:val="both"/>
        <w:rPr>
          <w:rFonts w:cs="Arial"/>
          <w:bCs/>
          <w:szCs w:val="24"/>
        </w:rPr>
      </w:pPr>
    </w:p>
    <w:p w14:paraId="7A155F19" w14:textId="51A42BCE" w:rsidR="004A72C4" w:rsidRPr="00813AB0" w:rsidRDefault="00813AB0" w:rsidP="000F048D">
      <w:pPr>
        <w:pStyle w:val="ListParagraph"/>
        <w:spacing w:after="120"/>
        <w:ind w:left="567"/>
        <w:jc w:val="both"/>
        <w:rPr>
          <w:rFonts w:cs="Arial"/>
          <w:bCs/>
          <w:szCs w:val="24"/>
          <w:u w:val="single"/>
        </w:rPr>
      </w:pPr>
      <w:r w:rsidRPr="000F048D">
        <w:rPr>
          <w:rFonts w:cs="Arial"/>
          <w:color w:val="0D0D0D" w:themeColor="text1" w:themeTint="F2"/>
          <w:szCs w:val="24"/>
          <w:u w:val="single"/>
        </w:rPr>
        <w:t>Financing Costs to Net Revenue Stream</w:t>
      </w:r>
    </w:p>
    <w:p w14:paraId="590058A6" w14:textId="4F00073A" w:rsidR="00813AB0" w:rsidRDefault="00813AB0" w:rsidP="00813AB0">
      <w:pPr>
        <w:pStyle w:val="ListParagraph"/>
        <w:numPr>
          <w:ilvl w:val="0"/>
          <w:numId w:val="22"/>
        </w:numPr>
        <w:tabs>
          <w:tab w:val="left" w:pos="567"/>
          <w:tab w:val="left" w:pos="7245"/>
        </w:tabs>
        <w:ind w:left="567" w:hanging="567"/>
        <w:jc w:val="both"/>
        <w:rPr>
          <w:rFonts w:cs="Arial"/>
          <w:bCs/>
          <w:szCs w:val="24"/>
        </w:rPr>
      </w:pPr>
      <w:r>
        <w:rPr>
          <w:rFonts w:cs="Arial"/>
          <w:bCs/>
          <w:szCs w:val="24"/>
        </w:rPr>
        <w:t>This Prudential Indicator identifies the trend in the cost of capital (</w:t>
      </w:r>
      <w:r w:rsidRPr="00813AB0">
        <w:rPr>
          <w:rFonts w:cs="Arial"/>
          <w:bCs/>
          <w:szCs w:val="24"/>
        </w:rPr>
        <w:t xml:space="preserve">borrowing and other </w:t>
      </w:r>
      <w:proofErr w:type="gramStart"/>
      <w:r w:rsidRPr="00813AB0">
        <w:rPr>
          <w:rFonts w:cs="Arial"/>
          <w:bCs/>
          <w:szCs w:val="24"/>
        </w:rPr>
        <w:t>long term</w:t>
      </w:r>
      <w:proofErr w:type="gramEnd"/>
      <w:r w:rsidRPr="00813AB0">
        <w:rPr>
          <w:rFonts w:cs="Arial"/>
          <w:bCs/>
          <w:szCs w:val="24"/>
        </w:rPr>
        <w:t xml:space="preserve"> obligation costs net of investment income), against the net revenue stream.</w:t>
      </w:r>
      <w:r>
        <w:rPr>
          <w:rFonts w:cs="Arial"/>
          <w:bCs/>
          <w:szCs w:val="24"/>
        </w:rPr>
        <w:t xml:space="preserve">  The actual financing costs as a proportion of net revenue stream for 2020/21 compared to 2019/20 is included within table 4 below.</w:t>
      </w:r>
    </w:p>
    <w:p w14:paraId="50F8CE1B" w14:textId="27AB6D9D" w:rsidR="00813AB0" w:rsidRDefault="00813AB0" w:rsidP="00813AB0">
      <w:pPr>
        <w:tabs>
          <w:tab w:val="left" w:pos="567"/>
        </w:tabs>
        <w:ind w:left="567"/>
        <w:jc w:val="both"/>
        <w:rPr>
          <w:rFonts w:cs="Arial"/>
          <w:bCs/>
          <w:szCs w:val="24"/>
        </w:rPr>
      </w:pPr>
    </w:p>
    <w:p w14:paraId="7698F84C" w14:textId="06C88058" w:rsidR="00813AB0" w:rsidRPr="00813AB0" w:rsidRDefault="00813AB0" w:rsidP="00813AB0">
      <w:pPr>
        <w:tabs>
          <w:tab w:val="left" w:pos="567"/>
        </w:tabs>
        <w:ind w:left="567"/>
        <w:jc w:val="both"/>
        <w:rPr>
          <w:rFonts w:cs="Arial"/>
          <w:bCs/>
          <w:sz w:val="20"/>
        </w:rPr>
      </w:pPr>
      <w:r w:rsidRPr="00813AB0">
        <w:rPr>
          <w:rFonts w:cs="Arial"/>
          <w:bCs/>
          <w:sz w:val="20"/>
        </w:rPr>
        <w:t>Table 4: Financing costs as a proportion of net revenue stream</w:t>
      </w:r>
    </w:p>
    <w:p w14:paraId="753D13A0" w14:textId="4A458676" w:rsidR="00813AB0" w:rsidRPr="00E86AC2" w:rsidRDefault="00813AB0" w:rsidP="00813AB0">
      <w:pPr>
        <w:tabs>
          <w:tab w:val="left" w:pos="567"/>
        </w:tabs>
        <w:ind w:left="567"/>
        <w:jc w:val="both"/>
        <w:rPr>
          <w:rFonts w:ascii="Calibri" w:hAnsi="Calibri"/>
          <w:color w:val="0D0D0D" w:themeColor="text1" w:themeTint="F2"/>
          <w:szCs w:val="22"/>
        </w:rPr>
      </w:pPr>
      <w:r w:rsidRPr="00813AB0">
        <w:rPr>
          <w:noProof/>
        </w:rPr>
        <w:drawing>
          <wp:inline distT="0" distB="0" distL="0" distR="0" wp14:anchorId="0630BAE8" wp14:editId="3E367579">
            <wp:extent cx="418147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1475" cy="962025"/>
                    </a:xfrm>
                    <a:prstGeom prst="rect">
                      <a:avLst/>
                    </a:prstGeom>
                    <a:noFill/>
                    <a:ln>
                      <a:noFill/>
                    </a:ln>
                  </pic:spPr>
                </pic:pic>
              </a:graphicData>
            </a:graphic>
          </wp:inline>
        </w:drawing>
      </w:r>
    </w:p>
    <w:p w14:paraId="7E372B29" w14:textId="77777777" w:rsidR="00813AB0" w:rsidRDefault="00813AB0" w:rsidP="007F4445">
      <w:pPr>
        <w:pStyle w:val="ListParagraph"/>
        <w:tabs>
          <w:tab w:val="left" w:pos="567"/>
          <w:tab w:val="left" w:pos="7245"/>
        </w:tabs>
        <w:ind w:left="567"/>
        <w:jc w:val="both"/>
        <w:rPr>
          <w:rFonts w:cs="Arial"/>
          <w:bCs/>
          <w:szCs w:val="24"/>
          <w:u w:val="single"/>
        </w:rPr>
      </w:pPr>
    </w:p>
    <w:p w14:paraId="2CFE2E12" w14:textId="20086C80" w:rsidR="007F4445" w:rsidRPr="000F048D" w:rsidRDefault="004E536E" w:rsidP="000F048D">
      <w:pPr>
        <w:pStyle w:val="ListParagraph"/>
        <w:spacing w:after="120"/>
        <w:ind w:left="567"/>
        <w:jc w:val="both"/>
        <w:rPr>
          <w:rFonts w:cs="Arial"/>
          <w:color w:val="0D0D0D" w:themeColor="text1" w:themeTint="F2"/>
          <w:szCs w:val="24"/>
          <w:u w:val="single"/>
        </w:rPr>
      </w:pPr>
      <w:r w:rsidRPr="007F4445">
        <w:rPr>
          <w:rFonts w:cs="Arial"/>
          <w:bCs/>
          <w:szCs w:val="24"/>
          <w:u w:val="single"/>
        </w:rPr>
        <w:t>The Authorised Limit</w:t>
      </w:r>
    </w:p>
    <w:p w14:paraId="32D74D31" w14:textId="179D5942" w:rsidR="00D515EE" w:rsidRDefault="004E536E" w:rsidP="00787761">
      <w:pPr>
        <w:pStyle w:val="ListParagraph"/>
        <w:numPr>
          <w:ilvl w:val="0"/>
          <w:numId w:val="22"/>
        </w:numPr>
        <w:tabs>
          <w:tab w:val="left" w:pos="567"/>
          <w:tab w:val="left" w:pos="7245"/>
        </w:tabs>
        <w:ind w:left="567" w:hanging="567"/>
        <w:jc w:val="both"/>
        <w:rPr>
          <w:rFonts w:cs="Arial"/>
          <w:bCs/>
          <w:szCs w:val="24"/>
        </w:rPr>
      </w:pPr>
      <w:r w:rsidRPr="007F4445">
        <w:rPr>
          <w:rFonts w:cs="Arial"/>
          <w:bCs/>
          <w:szCs w:val="24"/>
        </w:rPr>
        <w:t xml:space="preserve">The Authorised Limit is the “Affordable Borrowing Limit” required by </w:t>
      </w:r>
      <w:r w:rsidR="007F4445">
        <w:rPr>
          <w:rFonts w:cs="Arial"/>
          <w:bCs/>
          <w:szCs w:val="24"/>
        </w:rPr>
        <w:t>S</w:t>
      </w:r>
      <w:r w:rsidRPr="007F4445">
        <w:rPr>
          <w:rFonts w:cs="Arial"/>
          <w:bCs/>
          <w:szCs w:val="24"/>
        </w:rPr>
        <w:t xml:space="preserve">3 of the Local Government Act 2003.  Once this has been set, the Council does not have the power to borrow above this level.  </w:t>
      </w:r>
    </w:p>
    <w:p w14:paraId="0A75E45D" w14:textId="77777777" w:rsidR="00D515EE" w:rsidRDefault="00D515EE" w:rsidP="00D515EE">
      <w:pPr>
        <w:pStyle w:val="ListParagraph"/>
        <w:tabs>
          <w:tab w:val="left" w:pos="567"/>
          <w:tab w:val="left" w:pos="7245"/>
        </w:tabs>
        <w:ind w:left="567"/>
        <w:jc w:val="both"/>
        <w:rPr>
          <w:rFonts w:cs="Arial"/>
          <w:bCs/>
          <w:szCs w:val="24"/>
        </w:rPr>
      </w:pPr>
    </w:p>
    <w:p w14:paraId="719C6360" w14:textId="53D1F0E2" w:rsidR="00D515EE" w:rsidRPr="00D515EE" w:rsidRDefault="00D515EE" w:rsidP="00D515EE">
      <w:pPr>
        <w:pStyle w:val="ListParagraph"/>
        <w:numPr>
          <w:ilvl w:val="0"/>
          <w:numId w:val="22"/>
        </w:numPr>
        <w:tabs>
          <w:tab w:val="left" w:pos="567"/>
          <w:tab w:val="left" w:pos="7245"/>
        </w:tabs>
        <w:ind w:left="567" w:hanging="567"/>
        <w:jc w:val="both"/>
        <w:rPr>
          <w:rFonts w:cs="Arial"/>
          <w:bCs/>
          <w:szCs w:val="24"/>
        </w:rPr>
      </w:pPr>
      <w:r w:rsidRPr="00D515EE">
        <w:rPr>
          <w:rFonts w:cs="Arial"/>
          <w:bCs/>
          <w:szCs w:val="24"/>
        </w:rPr>
        <w:t xml:space="preserve">In the 2021/22 TMSS, in light of the revised capital programme, the 2020/21 </w:t>
      </w:r>
      <w:r w:rsidR="000279A2" w:rsidRPr="00D515EE">
        <w:rPr>
          <w:rFonts w:cs="Arial"/>
          <w:bCs/>
          <w:szCs w:val="24"/>
        </w:rPr>
        <w:t>Authorised</w:t>
      </w:r>
      <w:r w:rsidRPr="00D515EE">
        <w:rPr>
          <w:rFonts w:cs="Arial"/>
          <w:bCs/>
          <w:szCs w:val="24"/>
        </w:rPr>
        <w:t xml:space="preserve"> Limit was revised</w:t>
      </w:r>
      <w:r>
        <w:rPr>
          <w:rFonts w:cs="Arial"/>
          <w:bCs/>
          <w:szCs w:val="24"/>
        </w:rPr>
        <w:t xml:space="preserve"> down</w:t>
      </w:r>
      <w:r w:rsidRPr="00D515EE">
        <w:rPr>
          <w:rFonts w:cs="Arial"/>
          <w:bCs/>
          <w:szCs w:val="24"/>
        </w:rPr>
        <w:t xml:space="preserve"> to £653m consisting of £624m (</w:t>
      </w:r>
      <w:r w:rsidR="008D3FFB">
        <w:rPr>
          <w:rFonts w:cs="Arial"/>
          <w:bCs/>
          <w:szCs w:val="24"/>
        </w:rPr>
        <w:t>b</w:t>
      </w:r>
      <w:r w:rsidRPr="00D515EE">
        <w:rPr>
          <w:rFonts w:cs="Arial"/>
          <w:bCs/>
          <w:szCs w:val="24"/>
        </w:rPr>
        <w:t>orrowing) and £29m (</w:t>
      </w:r>
      <w:r w:rsidR="008D3FFB">
        <w:rPr>
          <w:rFonts w:cs="Arial"/>
          <w:bCs/>
          <w:szCs w:val="24"/>
        </w:rPr>
        <w:t>o</w:t>
      </w:r>
      <w:r w:rsidRPr="00D515EE">
        <w:rPr>
          <w:rFonts w:cs="Arial"/>
          <w:bCs/>
          <w:szCs w:val="24"/>
        </w:rPr>
        <w:t xml:space="preserve">ther </w:t>
      </w:r>
      <w:proofErr w:type="gramStart"/>
      <w:r w:rsidR="008D3FFB">
        <w:rPr>
          <w:rFonts w:cs="Arial"/>
          <w:bCs/>
          <w:szCs w:val="24"/>
        </w:rPr>
        <w:t>l</w:t>
      </w:r>
      <w:r w:rsidRPr="00D515EE">
        <w:rPr>
          <w:rFonts w:cs="Arial"/>
          <w:bCs/>
          <w:szCs w:val="24"/>
        </w:rPr>
        <w:t xml:space="preserve">ong </w:t>
      </w:r>
      <w:r w:rsidR="008D3FFB">
        <w:rPr>
          <w:rFonts w:cs="Arial"/>
          <w:bCs/>
          <w:szCs w:val="24"/>
        </w:rPr>
        <w:t>t</w:t>
      </w:r>
      <w:r w:rsidRPr="00D515EE">
        <w:rPr>
          <w:rFonts w:cs="Arial"/>
          <w:bCs/>
          <w:szCs w:val="24"/>
        </w:rPr>
        <w:t>erm</w:t>
      </w:r>
      <w:proofErr w:type="gramEnd"/>
      <w:r w:rsidRPr="00D515EE">
        <w:rPr>
          <w:rFonts w:cs="Arial"/>
          <w:bCs/>
          <w:szCs w:val="24"/>
        </w:rPr>
        <w:t xml:space="preserve"> </w:t>
      </w:r>
      <w:r w:rsidR="008D3FFB">
        <w:rPr>
          <w:rFonts w:cs="Arial"/>
          <w:bCs/>
          <w:szCs w:val="24"/>
        </w:rPr>
        <w:t>l</w:t>
      </w:r>
      <w:r w:rsidRPr="00D515EE">
        <w:rPr>
          <w:rFonts w:cs="Arial"/>
          <w:bCs/>
          <w:szCs w:val="24"/>
        </w:rPr>
        <w:t>iabilities)</w:t>
      </w:r>
      <w:r>
        <w:rPr>
          <w:rFonts w:cs="Arial"/>
          <w:bCs/>
          <w:szCs w:val="24"/>
        </w:rPr>
        <w:t>.</w:t>
      </w:r>
      <w:r w:rsidR="008D3FFB">
        <w:rPr>
          <w:rFonts w:cs="Arial"/>
          <w:bCs/>
          <w:szCs w:val="24"/>
        </w:rPr>
        <w:t xml:space="preserve">  Within the 2020/21 TMSS the Authorised Limit was set at a total of £812m for borrowing and other </w:t>
      </w:r>
      <w:proofErr w:type="gramStart"/>
      <w:r w:rsidR="008D3FFB">
        <w:rPr>
          <w:rFonts w:cs="Arial"/>
          <w:bCs/>
          <w:szCs w:val="24"/>
        </w:rPr>
        <w:t>long term</w:t>
      </w:r>
      <w:proofErr w:type="gramEnd"/>
      <w:r w:rsidR="008D3FFB">
        <w:rPr>
          <w:rFonts w:cs="Arial"/>
          <w:bCs/>
          <w:szCs w:val="24"/>
        </w:rPr>
        <w:t xml:space="preserve"> liabilities.</w:t>
      </w:r>
    </w:p>
    <w:p w14:paraId="5772FE8E" w14:textId="77777777" w:rsidR="00D515EE" w:rsidRDefault="00D515EE" w:rsidP="00D515EE">
      <w:pPr>
        <w:pStyle w:val="ListParagraph"/>
        <w:tabs>
          <w:tab w:val="left" w:pos="567"/>
          <w:tab w:val="left" w:pos="7245"/>
        </w:tabs>
        <w:ind w:left="567"/>
        <w:jc w:val="both"/>
        <w:rPr>
          <w:rFonts w:cs="Arial"/>
          <w:bCs/>
          <w:szCs w:val="24"/>
        </w:rPr>
      </w:pPr>
    </w:p>
    <w:p w14:paraId="26426D26" w14:textId="4782F0E7" w:rsidR="004E536E" w:rsidRPr="007F4445" w:rsidRDefault="004E536E" w:rsidP="00787761">
      <w:pPr>
        <w:pStyle w:val="ListParagraph"/>
        <w:numPr>
          <w:ilvl w:val="0"/>
          <w:numId w:val="22"/>
        </w:numPr>
        <w:tabs>
          <w:tab w:val="left" w:pos="567"/>
          <w:tab w:val="left" w:pos="7245"/>
        </w:tabs>
        <w:ind w:left="567" w:hanging="567"/>
        <w:jc w:val="both"/>
        <w:rPr>
          <w:rFonts w:cs="Arial"/>
          <w:bCs/>
          <w:szCs w:val="24"/>
        </w:rPr>
      </w:pPr>
      <w:r w:rsidRPr="007F4445">
        <w:rPr>
          <w:rFonts w:cs="Arial"/>
          <w:bCs/>
          <w:szCs w:val="24"/>
        </w:rPr>
        <w:t xml:space="preserve">The table below demonstrates that during </w:t>
      </w:r>
      <w:r w:rsidR="008D3FFB">
        <w:rPr>
          <w:rFonts w:cs="Arial"/>
          <w:bCs/>
          <w:szCs w:val="24"/>
        </w:rPr>
        <w:t>2020/21</w:t>
      </w:r>
      <w:r w:rsidRPr="007F4445">
        <w:rPr>
          <w:rFonts w:cs="Arial"/>
          <w:bCs/>
          <w:szCs w:val="24"/>
        </w:rPr>
        <w:t xml:space="preserve"> the Council has maintained gross borrowing</w:t>
      </w:r>
      <w:r w:rsidR="00D515EE">
        <w:rPr>
          <w:rFonts w:cs="Arial"/>
          <w:bCs/>
          <w:szCs w:val="24"/>
        </w:rPr>
        <w:t xml:space="preserve"> </w:t>
      </w:r>
      <w:r w:rsidRPr="007F4445">
        <w:rPr>
          <w:rFonts w:cs="Arial"/>
          <w:bCs/>
          <w:szCs w:val="24"/>
        </w:rPr>
        <w:t xml:space="preserve">within its Authorised Limit. </w:t>
      </w:r>
    </w:p>
    <w:p w14:paraId="3D7F425E" w14:textId="5621ED35" w:rsidR="004E536E" w:rsidRDefault="004E536E" w:rsidP="004E536E">
      <w:pPr>
        <w:pStyle w:val="ListParagraph"/>
        <w:tabs>
          <w:tab w:val="left" w:pos="567"/>
        </w:tabs>
        <w:ind w:left="567"/>
        <w:jc w:val="both"/>
        <w:rPr>
          <w:rFonts w:cs="Arial"/>
          <w:bCs/>
          <w:szCs w:val="24"/>
        </w:rPr>
      </w:pPr>
    </w:p>
    <w:p w14:paraId="4875A1EB" w14:textId="66AC1F2F" w:rsidR="007935C5" w:rsidRPr="00D515EE" w:rsidRDefault="004E536E" w:rsidP="004E536E">
      <w:pPr>
        <w:tabs>
          <w:tab w:val="left" w:pos="7245"/>
        </w:tabs>
        <w:ind w:left="567"/>
        <w:jc w:val="both"/>
        <w:rPr>
          <w:sz w:val="20"/>
        </w:rPr>
      </w:pPr>
      <w:r w:rsidRPr="00D515EE">
        <w:rPr>
          <w:sz w:val="20"/>
        </w:rPr>
        <w:t xml:space="preserve">Table </w:t>
      </w:r>
      <w:r w:rsidR="008D3FFB">
        <w:rPr>
          <w:sz w:val="20"/>
        </w:rPr>
        <w:t>5</w:t>
      </w:r>
      <w:r w:rsidRPr="00D515EE">
        <w:rPr>
          <w:sz w:val="20"/>
        </w:rPr>
        <w:t>: Authorised Limit</w:t>
      </w:r>
    </w:p>
    <w:p w14:paraId="49425499" w14:textId="30187D4E" w:rsidR="0054590F" w:rsidRDefault="00D515EE" w:rsidP="004E536E">
      <w:pPr>
        <w:tabs>
          <w:tab w:val="left" w:pos="7245"/>
        </w:tabs>
        <w:ind w:left="567"/>
        <w:jc w:val="both"/>
        <w:rPr>
          <w:color w:val="FF0000"/>
          <w:szCs w:val="24"/>
        </w:rPr>
      </w:pPr>
      <w:r w:rsidRPr="00D515EE">
        <w:rPr>
          <w:noProof/>
        </w:rPr>
        <w:drawing>
          <wp:inline distT="0" distB="0" distL="0" distR="0" wp14:anchorId="0340ACDB" wp14:editId="5A274896">
            <wp:extent cx="5000625" cy="962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625" cy="962025"/>
                    </a:xfrm>
                    <a:prstGeom prst="rect">
                      <a:avLst/>
                    </a:prstGeom>
                    <a:noFill/>
                    <a:ln>
                      <a:noFill/>
                    </a:ln>
                  </pic:spPr>
                </pic:pic>
              </a:graphicData>
            </a:graphic>
          </wp:inline>
        </w:drawing>
      </w:r>
    </w:p>
    <w:p w14:paraId="487F2F60" w14:textId="4E655EB0" w:rsidR="004E536E" w:rsidRDefault="004E536E" w:rsidP="004E536E">
      <w:pPr>
        <w:tabs>
          <w:tab w:val="left" w:pos="7245"/>
        </w:tabs>
        <w:ind w:left="567"/>
        <w:jc w:val="both"/>
        <w:rPr>
          <w:color w:val="FF0000"/>
          <w:szCs w:val="24"/>
        </w:rPr>
      </w:pPr>
    </w:p>
    <w:p w14:paraId="1E632126" w14:textId="77777777" w:rsidR="007F4445"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The Operational Boundary</w:t>
      </w:r>
    </w:p>
    <w:p w14:paraId="5EBD1D75" w14:textId="77777777" w:rsidR="00D7380F" w:rsidRDefault="004E536E" w:rsidP="0037216F">
      <w:pPr>
        <w:pStyle w:val="ListParagraph"/>
        <w:numPr>
          <w:ilvl w:val="0"/>
          <w:numId w:val="22"/>
        </w:numPr>
        <w:tabs>
          <w:tab w:val="left" w:pos="567"/>
        </w:tabs>
        <w:ind w:left="567" w:hanging="567"/>
        <w:jc w:val="both"/>
        <w:rPr>
          <w:rFonts w:cs="Arial"/>
          <w:bCs/>
          <w:szCs w:val="24"/>
        </w:rPr>
      </w:pPr>
      <w:r w:rsidRPr="007F4445">
        <w:rPr>
          <w:rFonts w:cs="Arial"/>
          <w:bCs/>
          <w:szCs w:val="24"/>
        </w:rPr>
        <w:t xml:space="preserve">The Operational Boundary is the expected borrowing position of the Council during the year.  Periods where the actual position is either below or over the boundary are acceptable subject to the Authorised Limit not being breached.  The Council </w:t>
      </w:r>
      <w:proofErr w:type="gramStart"/>
      <w:r w:rsidRPr="007F4445">
        <w:rPr>
          <w:rFonts w:cs="Arial"/>
          <w:bCs/>
          <w:szCs w:val="24"/>
        </w:rPr>
        <w:t>entered into</w:t>
      </w:r>
      <w:proofErr w:type="gramEnd"/>
      <w:r w:rsidRPr="007F4445">
        <w:rPr>
          <w:rFonts w:cs="Arial"/>
          <w:bCs/>
          <w:szCs w:val="24"/>
        </w:rPr>
        <w:t xml:space="preserve"> new finance leases of vehicles and machinery in 2019/20 with a liability of £3.6m.  Together with the existing PFI liabilities this resulted in total </w:t>
      </w:r>
      <w:proofErr w:type="gramStart"/>
      <w:r w:rsidRPr="007F4445">
        <w:rPr>
          <w:rFonts w:cs="Arial"/>
          <w:bCs/>
          <w:szCs w:val="24"/>
        </w:rPr>
        <w:t>long term</w:t>
      </w:r>
      <w:proofErr w:type="gramEnd"/>
      <w:r w:rsidRPr="007F4445">
        <w:rPr>
          <w:rFonts w:cs="Arial"/>
          <w:bCs/>
          <w:szCs w:val="24"/>
        </w:rPr>
        <w:t xml:space="preserve"> liabilities of £18.5m, in excess of the Operational Boundary for this category of debt. </w:t>
      </w:r>
    </w:p>
    <w:p w14:paraId="31356712" w14:textId="4DB974A8" w:rsidR="007C2C6D" w:rsidRDefault="004E536E" w:rsidP="00507F19">
      <w:pPr>
        <w:pStyle w:val="ListParagraph"/>
        <w:tabs>
          <w:tab w:val="left" w:pos="567"/>
        </w:tabs>
        <w:ind w:left="567"/>
        <w:jc w:val="both"/>
        <w:rPr>
          <w:rFonts w:cs="Arial"/>
          <w:bCs/>
          <w:szCs w:val="24"/>
        </w:rPr>
      </w:pPr>
      <w:r w:rsidRPr="007F4445">
        <w:rPr>
          <w:rFonts w:cs="Arial"/>
          <w:bCs/>
          <w:szCs w:val="24"/>
        </w:rPr>
        <w:lastRenderedPageBreak/>
        <w:t xml:space="preserve"> </w:t>
      </w:r>
    </w:p>
    <w:p w14:paraId="23F40700" w14:textId="68BFD908" w:rsidR="0037216F" w:rsidRPr="0037216F" w:rsidRDefault="0037216F" w:rsidP="0037216F">
      <w:pPr>
        <w:pStyle w:val="ListParagraph"/>
        <w:numPr>
          <w:ilvl w:val="0"/>
          <w:numId w:val="22"/>
        </w:numPr>
        <w:tabs>
          <w:tab w:val="left" w:pos="567"/>
        </w:tabs>
        <w:ind w:left="567" w:hanging="567"/>
        <w:jc w:val="both"/>
        <w:rPr>
          <w:rFonts w:cs="Arial"/>
          <w:bCs/>
          <w:szCs w:val="24"/>
        </w:rPr>
      </w:pPr>
      <w:r>
        <w:rPr>
          <w:rFonts w:cs="Arial"/>
          <w:bCs/>
          <w:szCs w:val="24"/>
        </w:rPr>
        <w:t>The Operational Boundary</w:t>
      </w:r>
      <w:r w:rsidR="008D3FFB">
        <w:rPr>
          <w:rFonts w:cs="Arial"/>
          <w:bCs/>
          <w:szCs w:val="24"/>
        </w:rPr>
        <w:t xml:space="preserve"> was originally set as part of the 2020/21 TMSS at a total of £671m.  This</w:t>
      </w:r>
      <w:r>
        <w:rPr>
          <w:rFonts w:cs="Arial"/>
          <w:bCs/>
          <w:szCs w:val="24"/>
        </w:rPr>
        <w:t xml:space="preserve"> was revised to reflect both </w:t>
      </w:r>
      <w:r w:rsidR="008D3FFB">
        <w:rPr>
          <w:rFonts w:cs="Arial"/>
          <w:bCs/>
          <w:szCs w:val="24"/>
        </w:rPr>
        <w:t>the additional finance lease liabilities</w:t>
      </w:r>
      <w:r>
        <w:rPr>
          <w:rFonts w:cs="Arial"/>
          <w:bCs/>
          <w:szCs w:val="24"/>
        </w:rPr>
        <w:t xml:space="preserve"> and the revised capital programme as part of the 2021/22 TMSS to</w:t>
      </w:r>
      <w:r w:rsidR="007C2C6D">
        <w:rPr>
          <w:rFonts w:cs="Arial"/>
          <w:bCs/>
          <w:szCs w:val="24"/>
        </w:rPr>
        <w:t xml:space="preserve"> total</w:t>
      </w:r>
      <w:r w:rsidR="008D3FFB">
        <w:rPr>
          <w:rFonts w:cs="Arial"/>
          <w:bCs/>
          <w:szCs w:val="24"/>
        </w:rPr>
        <w:t xml:space="preserve"> £613m</w:t>
      </w:r>
      <w:r w:rsidR="007C2C6D">
        <w:rPr>
          <w:rFonts w:cs="Arial"/>
          <w:bCs/>
          <w:szCs w:val="24"/>
        </w:rPr>
        <w:t>,</w:t>
      </w:r>
      <w:r>
        <w:rPr>
          <w:rFonts w:cs="Arial"/>
          <w:bCs/>
          <w:szCs w:val="24"/>
        </w:rPr>
        <w:t xml:space="preserve"> consist</w:t>
      </w:r>
      <w:r w:rsidR="008D3FFB">
        <w:rPr>
          <w:rFonts w:cs="Arial"/>
          <w:bCs/>
          <w:szCs w:val="24"/>
        </w:rPr>
        <w:t>ing</w:t>
      </w:r>
      <w:r>
        <w:rPr>
          <w:rFonts w:cs="Arial"/>
          <w:bCs/>
          <w:szCs w:val="24"/>
        </w:rPr>
        <w:t xml:space="preserve"> of </w:t>
      </w:r>
      <w:r w:rsidRPr="0037216F">
        <w:rPr>
          <w:rFonts w:cs="Arial"/>
          <w:bCs/>
          <w:szCs w:val="24"/>
        </w:rPr>
        <w:t>£594m (</w:t>
      </w:r>
      <w:r w:rsidR="008D3FFB">
        <w:rPr>
          <w:rFonts w:cs="Arial"/>
          <w:bCs/>
          <w:szCs w:val="24"/>
        </w:rPr>
        <w:t>b</w:t>
      </w:r>
      <w:r w:rsidRPr="0037216F">
        <w:rPr>
          <w:rFonts w:cs="Arial"/>
          <w:bCs/>
          <w:szCs w:val="24"/>
        </w:rPr>
        <w:t>orrowing) and £19m (</w:t>
      </w:r>
      <w:r w:rsidR="008D3FFB">
        <w:rPr>
          <w:rFonts w:cs="Arial"/>
          <w:bCs/>
          <w:szCs w:val="24"/>
        </w:rPr>
        <w:t>o</w:t>
      </w:r>
      <w:r w:rsidRPr="0037216F">
        <w:rPr>
          <w:rFonts w:cs="Arial"/>
          <w:bCs/>
          <w:szCs w:val="24"/>
        </w:rPr>
        <w:t xml:space="preserve">ther </w:t>
      </w:r>
      <w:proofErr w:type="gramStart"/>
      <w:r w:rsidR="008D3FFB">
        <w:rPr>
          <w:rFonts w:cs="Arial"/>
          <w:bCs/>
          <w:szCs w:val="24"/>
        </w:rPr>
        <w:t>l</w:t>
      </w:r>
      <w:r w:rsidRPr="0037216F">
        <w:rPr>
          <w:rFonts w:cs="Arial"/>
          <w:bCs/>
          <w:szCs w:val="24"/>
        </w:rPr>
        <w:t xml:space="preserve">ong </w:t>
      </w:r>
      <w:r w:rsidR="008D3FFB">
        <w:rPr>
          <w:rFonts w:cs="Arial"/>
          <w:bCs/>
          <w:szCs w:val="24"/>
        </w:rPr>
        <w:t>t</w:t>
      </w:r>
      <w:r w:rsidRPr="0037216F">
        <w:rPr>
          <w:rFonts w:cs="Arial"/>
          <w:bCs/>
          <w:szCs w:val="24"/>
        </w:rPr>
        <w:t>erm</w:t>
      </w:r>
      <w:proofErr w:type="gramEnd"/>
      <w:r w:rsidRPr="0037216F">
        <w:rPr>
          <w:rFonts w:cs="Arial"/>
          <w:bCs/>
          <w:szCs w:val="24"/>
        </w:rPr>
        <w:t xml:space="preserve"> </w:t>
      </w:r>
      <w:r w:rsidR="008D3FFB">
        <w:rPr>
          <w:rFonts w:cs="Arial"/>
          <w:bCs/>
          <w:szCs w:val="24"/>
        </w:rPr>
        <w:t>l</w:t>
      </w:r>
      <w:r w:rsidRPr="0037216F">
        <w:rPr>
          <w:rFonts w:cs="Arial"/>
          <w:bCs/>
          <w:szCs w:val="24"/>
        </w:rPr>
        <w:t>iabilities)</w:t>
      </w:r>
      <w:r w:rsidR="007C2C6D">
        <w:rPr>
          <w:rFonts w:cs="Arial"/>
          <w:bCs/>
          <w:szCs w:val="24"/>
        </w:rPr>
        <w:t>.</w:t>
      </w:r>
    </w:p>
    <w:p w14:paraId="5FFDE424" w14:textId="77777777" w:rsidR="0037216F" w:rsidRPr="007C2C6D" w:rsidRDefault="0037216F" w:rsidP="004E536E">
      <w:pPr>
        <w:tabs>
          <w:tab w:val="left" w:pos="7245"/>
        </w:tabs>
        <w:ind w:left="567"/>
        <w:jc w:val="both"/>
        <w:rPr>
          <w:szCs w:val="24"/>
        </w:rPr>
      </w:pPr>
    </w:p>
    <w:p w14:paraId="5F618F1B" w14:textId="7B0A2AC3" w:rsidR="004E536E" w:rsidRPr="0037216F" w:rsidRDefault="004E536E" w:rsidP="004E536E">
      <w:pPr>
        <w:tabs>
          <w:tab w:val="left" w:pos="7245"/>
        </w:tabs>
        <w:ind w:left="567"/>
        <w:jc w:val="both"/>
        <w:rPr>
          <w:sz w:val="20"/>
        </w:rPr>
      </w:pPr>
      <w:r w:rsidRPr="0037216F">
        <w:rPr>
          <w:sz w:val="20"/>
        </w:rPr>
        <w:t xml:space="preserve">Table </w:t>
      </w:r>
      <w:r w:rsidR="007C2C6D">
        <w:rPr>
          <w:sz w:val="20"/>
        </w:rPr>
        <w:t>6</w:t>
      </w:r>
      <w:r w:rsidRPr="0037216F">
        <w:rPr>
          <w:sz w:val="20"/>
        </w:rPr>
        <w:t>: Operational Boundary</w:t>
      </w:r>
    </w:p>
    <w:p w14:paraId="16F059B0" w14:textId="0493EA12" w:rsidR="004E536E" w:rsidRPr="004E536E" w:rsidRDefault="0037216F" w:rsidP="004E536E">
      <w:pPr>
        <w:pStyle w:val="ListParagraph"/>
        <w:tabs>
          <w:tab w:val="left" w:pos="567"/>
        </w:tabs>
        <w:ind w:left="567"/>
        <w:jc w:val="both"/>
        <w:rPr>
          <w:rFonts w:cs="Arial"/>
          <w:bCs/>
          <w:szCs w:val="24"/>
        </w:rPr>
      </w:pPr>
      <w:r w:rsidRPr="0037216F">
        <w:rPr>
          <w:noProof/>
        </w:rPr>
        <w:drawing>
          <wp:inline distT="0" distB="0" distL="0" distR="0" wp14:anchorId="6789E337" wp14:editId="25713F3E">
            <wp:extent cx="5000625" cy="962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0625" cy="962025"/>
                    </a:xfrm>
                    <a:prstGeom prst="rect">
                      <a:avLst/>
                    </a:prstGeom>
                    <a:noFill/>
                    <a:ln>
                      <a:noFill/>
                    </a:ln>
                  </pic:spPr>
                </pic:pic>
              </a:graphicData>
            </a:graphic>
          </wp:inline>
        </w:drawing>
      </w:r>
    </w:p>
    <w:p w14:paraId="1F473BBA" w14:textId="0E57CF51" w:rsidR="004E536E" w:rsidRDefault="004E536E" w:rsidP="004E536E">
      <w:pPr>
        <w:tabs>
          <w:tab w:val="left" w:pos="7245"/>
        </w:tabs>
        <w:ind w:left="567"/>
        <w:jc w:val="both"/>
        <w:rPr>
          <w:color w:val="FF0000"/>
          <w:szCs w:val="24"/>
        </w:rPr>
      </w:pPr>
    </w:p>
    <w:p w14:paraId="7E8A8CEE" w14:textId="77777777" w:rsidR="004E536E" w:rsidRPr="00C6595B" w:rsidRDefault="004E536E" w:rsidP="004E536E">
      <w:pPr>
        <w:tabs>
          <w:tab w:val="left" w:pos="7245"/>
        </w:tabs>
        <w:ind w:left="567"/>
        <w:jc w:val="both"/>
        <w:rPr>
          <w:color w:val="FF0000"/>
          <w:szCs w:val="24"/>
        </w:rPr>
      </w:pPr>
    </w:p>
    <w:p w14:paraId="10B45FCE" w14:textId="5D0951BD" w:rsidR="00333FAA" w:rsidRPr="00340394" w:rsidRDefault="00BC74D1" w:rsidP="00AF66F2">
      <w:pPr>
        <w:pStyle w:val="Heading4"/>
        <w:jc w:val="both"/>
        <w:rPr>
          <w:szCs w:val="24"/>
        </w:rPr>
      </w:pPr>
      <w:r w:rsidRPr="00340394">
        <w:rPr>
          <w:b w:val="0"/>
          <w:szCs w:val="24"/>
        </w:rPr>
        <w:t>8</w:t>
      </w:r>
      <w:r w:rsidR="004C0103" w:rsidRPr="00340394">
        <w:rPr>
          <w:b w:val="0"/>
          <w:szCs w:val="24"/>
        </w:rPr>
        <w:t>.0</w:t>
      </w:r>
      <w:r w:rsidR="0008678F" w:rsidRPr="00340394">
        <w:rPr>
          <w:szCs w:val="24"/>
        </w:rPr>
        <w:t xml:space="preserve">    </w:t>
      </w:r>
      <w:r w:rsidR="004E536E">
        <w:rPr>
          <w:szCs w:val="24"/>
        </w:rPr>
        <w:t>Treasury Position as at 31 March 2021</w:t>
      </w:r>
    </w:p>
    <w:p w14:paraId="72CC1CBA" w14:textId="77777777" w:rsidR="000929A6" w:rsidRPr="00340394" w:rsidRDefault="000929A6" w:rsidP="00AF66F2">
      <w:pPr>
        <w:jc w:val="both"/>
        <w:rPr>
          <w:iCs/>
          <w:szCs w:val="24"/>
        </w:rPr>
      </w:pPr>
    </w:p>
    <w:p w14:paraId="1C32BF74" w14:textId="087E5979"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Borrowing Outturn (excluding borrowing by PFI and finance leases)</w:t>
      </w:r>
    </w:p>
    <w:p w14:paraId="61E7826E" w14:textId="235CE1D3"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 xml:space="preserve">The Council has maintained an internal borrowing strategy for </w:t>
      </w:r>
      <w:proofErr w:type="gramStart"/>
      <w:r w:rsidRPr="004E536E">
        <w:rPr>
          <w:rFonts w:cs="Arial"/>
          <w:bCs/>
          <w:szCs w:val="24"/>
        </w:rPr>
        <w:t>a number of</w:t>
      </w:r>
      <w:proofErr w:type="gramEnd"/>
      <w:r w:rsidRPr="004E536E">
        <w:rPr>
          <w:rFonts w:cs="Arial"/>
          <w:bCs/>
          <w:szCs w:val="24"/>
        </w:rPr>
        <w:t xml:space="preserve"> years, forgoing lost investment income on investments to use its cash balances to temporarily fund capital expenditure and avoid external borrowing costs.  This has proved efficient given the differential between short term investment returns and borrowing costs.</w:t>
      </w:r>
      <w:r w:rsidR="0037216F">
        <w:rPr>
          <w:rFonts w:cs="Arial"/>
          <w:bCs/>
          <w:szCs w:val="24"/>
        </w:rPr>
        <w:t xml:space="preserve">  Table 3 shows that internal</w:t>
      </w:r>
      <w:r w:rsidR="007C2C6D">
        <w:rPr>
          <w:rFonts w:cs="Arial"/>
          <w:bCs/>
          <w:szCs w:val="24"/>
        </w:rPr>
        <w:t xml:space="preserve"> (or under)</w:t>
      </w:r>
      <w:r w:rsidR="0037216F">
        <w:rPr>
          <w:rFonts w:cs="Arial"/>
          <w:bCs/>
          <w:szCs w:val="24"/>
        </w:rPr>
        <w:t xml:space="preserve"> borrowing as at 31</w:t>
      </w:r>
      <w:r w:rsidR="0037216F" w:rsidRPr="0037216F">
        <w:rPr>
          <w:rFonts w:cs="Arial"/>
          <w:bCs/>
          <w:szCs w:val="24"/>
          <w:vertAlign w:val="superscript"/>
        </w:rPr>
        <w:t>st</w:t>
      </w:r>
      <w:r w:rsidR="0037216F">
        <w:rPr>
          <w:rFonts w:cs="Arial"/>
          <w:bCs/>
          <w:szCs w:val="24"/>
        </w:rPr>
        <w:t xml:space="preserve"> March 2021 was £133m (£121m as at 31</w:t>
      </w:r>
      <w:r w:rsidR="0037216F" w:rsidRPr="0037216F">
        <w:rPr>
          <w:rFonts w:cs="Arial"/>
          <w:bCs/>
          <w:szCs w:val="24"/>
          <w:vertAlign w:val="superscript"/>
        </w:rPr>
        <w:t>st</w:t>
      </w:r>
      <w:r w:rsidR="0037216F">
        <w:rPr>
          <w:rFonts w:cs="Arial"/>
          <w:bCs/>
          <w:szCs w:val="24"/>
        </w:rPr>
        <w:t xml:space="preserve"> March 2020). </w:t>
      </w:r>
    </w:p>
    <w:p w14:paraId="125A3190" w14:textId="77777777" w:rsidR="004E536E" w:rsidRPr="004E536E" w:rsidRDefault="004E536E" w:rsidP="004E536E">
      <w:pPr>
        <w:pStyle w:val="ListParagraph"/>
        <w:tabs>
          <w:tab w:val="left" w:pos="567"/>
        </w:tabs>
        <w:ind w:left="567"/>
        <w:jc w:val="both"/>
        <w:rPr>
          <w:rFonts w:cs="Arial"/>
          <w:bCs/>
          <w:szCs w:val="24"/>
        </w:rPr>
      </w:pPr>
    </w:p>
    <w:p w14:paraId="0983A622" w14:textId="2A06E5BE" w:rsidR="004E536E" w:rsidRDefault="00152ABB" w:rsidP="004E536E">
      <w:pPr>
        <w:pStyle w:val="ListParagraph"/>
        <w:numPr>
          <w:ilvl w:val="0"/>
          <w:numId w:val="23"/>
        </w:numPr>
        <w:tabs>
          <w:tab w:val="left" w:pos="567"/>
        </w:tabs>
        <w:ind w:left="567" w:hanging="567"/>
        <w:jc w:val="both"/>
        <w:rPr>
          <w:rFonts w:cs="Arial"/>
          <w:bCs/>
          <w:szCs w:val="24"/>
        </w:rPr>
      </w:pPr>
      <w:r>
        <w:rPr>
          <w:rFonts w:cs="Arial"/>
          <w:bCs/>
          <w:szCs w:val="24"/>
        </w:rPr>
        <w:t>No additional external borrowing was undertaken during 2020/21, and the Authority’s underlying need to borrow, measured by the increase in the Capital Financing Requirement</w:t>
      </w:r>
      <w:r w:rsidR="007C2C6D">
        <w:rPr>
          <w:rFonts w:cs="Arial"/>
          <w:bCs/>
          <w:szCs w:val="24"/>
        </w:rPr>
        <w:t xml:space="preserve">, </w:t>
      </w:r>
      <w:r>
        <w:rPr>
          <w:rFonts w:cs="Arial"/>
          <w:bCs/>
          <w:szCs w:val="24"/>
        </w:rPr>
        <w:t xml:space="preserve">only showed a relatively small increase of £11m.  </w:t>
      </w:r>
      <w:r w:rsidR="004E536E" w:rsidRPr="004E536E">
        <w:rPr>
          <w:rFonts w:cs="Arial"/>
          <w:bCs/>
          <w:szCs w:val="24"/>
        </w:rPr>
        <w:t xml:space="preserve">During 2019/20 the Council </w:t>
      </w:r>
      <w:r w:rsidR="007C2C6D">
        <w:rPr>
          <w:rFonts w:cs="Arial"/>
          <w:bCs/>
          <w:szCs w:val="24"/>
        </w:rPr>
        <w:t>took</w:t>
      </w:r>
      <w:r>
        <w:rPr>
          <w:rFonts w:cs="Arial"/>
          <w:bCs/>
          <w:szCs w:val="24"/>
        </w:rPr>
        <w:t xml:space="preserve"> </w:t>
      </w:r>
      <w:r w:rsidR="004E536E" w:rsidRPr="004E536E">
        <w:rPr>
          <w:rFonts w:cs="Arial"/>
          <w:bCs/>
          <w:szCs w:val="24"/>
        </w:rPr>
        <w:t>£100m of new PWLB loans and a further £20m market loan</w:t>
      </w:r>
      <w:r>
        <w:rPr>
          <w:rFonts w:cs="Arial"/>
          <w:bCs/>
          <w:szCs w:val="24"/>
        </w:rPr>
        <w:t xml:space="preserve"> to refinance temporary borrowing and market debt and fund</w:t>
      </w:r>
      <w:r w:rsidR="007C2C6D">
        <w:rPr>
          <w:rFonts w:cs="Arial"/>
          <w:bCs/>
          <w:szCs w:val="24"/>
        </w:rPr>
        <w:t xml:space="preserve"> its</w:t>
      </w:r>
      <w:r>
        <w:rPr>
          <w:rFonts w:cs="Arial"/>
          <w:bCs/>
          <w:szCs w:val="24"/>
        </w:rPr>
        <w:t xml:space="preserve"> </w:t>
      </w:r>
      <w:r w:rsidR="004E536E" w:rsidRPr="004E536E">
        <w:rPr>
          <w:rFonts w:cs="Arial"/>
          <w:bCs/>
          <w:szCs w:val="24"/>
        </w:rPr>
        <w:t>CFR.</w:t>
      </w:r>
      <w:r w:rsidR="007C2C6D">
        <w:rPr>
          <w:rFonts w:cs="Arial"/>
          <w:bCs/>
          <w:szCs w:val="24"/>
        </w:rPr>
        <w:t xml:space="preserve">  Therefore, given the relatively small increase in the CFR position during 2020/21, it was deemed that no additional borrowing was required during the year.</w:t>
      </w:r>
      <w:r w:rsidR="004E536E" w:rsidRPr="004E536E">
        <w:rPr>
          <w:rFonts w:cs="Arial"/>
          <w:bCs/>
          <w:szCs w:val="24"/>
        </w:rPr>
        <w:t xml:space="preserve">  </w:t>
      </w:r>
    </w:p>
    <w:p w14:paraId="26D3DD96" w14:textId="77777777" w:rsidR="004E536E" w:rsidRPr="004E536E" w:rsidRDefault="004E536E" w:rsidP="004E536E">
      <w:pPr>
        <w:tabs>
          <w:tab w:val="left" w:pos="567"/>
        </w:tabs>
        <w:jc w:val="both"/>
        <w:rPr>
          <w:rFonts w:cs="Arial"/>
          <w:bCs/>
          <w:szCs w:val="24"/>
        </w:rPr>
      </w:pPr>
    </w:p>
    <w:p w14:paraId="1A89169C" w14:textId="1D7944A2" w:rsidR="004E536E" w:rsidRDefault="00622FD5" w:rsidP="004E536E">
      <w:pPr>
        <w:pStyle w:val="ListParagraph"/>
        <w:numPr>
          <w:ilvl w:val="0"/>
          <w:numId w:val="23"/>
        </w:numPr>
        <w:tabs>
          <w:tab w:val="left" w:pos="567"/>
        </w:tabs>
        <w:ind w:left="567" w:hanging="567"/>
        <w:jc w:val="both"/>
        <w:rPr>
          <w:rFonts w:cs="Arial"/>
          <w:bCs/>
          <w:szCs w:val="24"/>
        </w:rPr>
      </w:pPr>
      <w:r>
        <w:rPr>
          <w:rFonts w:cs="Arial"/>
          <w:bCs/>
          <w:szCs w:val="24"/>
        </w:rPr>
        <w:t>The borrowing portfolio remained unchanged in 2020/21, at £422m split between £348m of PWLB loans and £74m of Market loans,</w:t>
      </w:r>
      <w:r w:rsidR="007C2C6D">
        <w:rPr>
          <w:rFonts w:cs="Arial"/>
          <w:bCs/>
          <w:szCs w:val="24"/>
        </w:rPr>
        <w:t xml:space="preserve"> and at the 31</w:t>
      </w:r>
      <w:r w:rsidR="007C2C6D" w:rsidRPr="007C2C6D">
        <w:rPr>
          <w:rFonts w:cs="Arial"/>
          <w:bCs/>
          <w:szCs w:val="24"/>
          <w:vertAlign w:val="superscript"/>
        </w:rPr>
        <w:t>st</w:t>
      </w:r>
      <w:r w:rsidR="007C2C6D">
        <w:rPr>
          <w:rFonts w:cs="Arial"/>
          <w:bCs/>
          <w:szCs w:val="24"/>
        </w:rPr>
        <w:t xml:space="preserve"> March 2021 the </w:t>
      </w:r>
      <w:r w:rsidR="000279A2">
        <w:rPr>
          <w:rFonts w:cs="Arial"/>
          <w:bCs/>
          <w:szCs w:val="24"/>
        </w:rPr>
        <w:t>portfolio</w:t>
      </w:r>
      <w:r w:rsidR="007C2C6D">
        <w:rPr>
          <w:rFonts w:cs="Arial"/>
          <w:bCs/>
          <w:szCs w:val="24"/>
        </w:rPr>
        <w:t xml:space="preserve"> was</w:t>
      </w:r>
      <w:r>
        <w:rPr>
          <w:rFonts w:cs="Arial"/>
          <w:bCs/>
          <w:szCs w:val="24"/>
        </w:rPr>
        <w:t xml:space="preserve"> running at </w:t>
      </w:r>
      <w:r w:rsidR="007C2C6D">
        <w:rPr>
          <w:rFonts w:cs="Arial"/>
          <w:bCs/>
          <w:szCs w:val="24"/>
        </w:rPr>
        <w:t>an</w:t>
      </w:r>
      <w:r>
        <w:rPr>
          <w:rFonts w:cs="Arial"/>
          <w:bCs/>
          <w:szCs w:val="24"/>
        </w:rPr>
        <w:t xml:space="preserve"> average </w:t>
      </w:r>
      <w:r w:rsidR="007C2C6D">
        <w:rPr>
          <w:rFonts w:cs="Arial"/>
          <w:bCs/>
          <w:szCs w:val="24"/>
        </w:rPr>
        <w:t xml:space="preserve">interest </w:t>
      </w:r>
      <w:r>
        <w:rPr>
          <w:rFonts w:cs="Arial"/>
          <w:bCs/>
          <w:szCs w:val="24"/>
        </w:rPr>
        <w:t>rate of 3.46% and an average life of 37 years.</w:t>
      </w:r>
    </w:p>
    <w:p w14:paraId="2DF51BAA" w14:textId="77777777" w:rsidR="004E536E" w:rsidRDefault="004E536E" w:rsidP="004E536E">
      <w:pPr>
        <w:pStyle w:val="ListParagraph"/>
        <w:tabs>
          <w:tab w:val="left" w:pos="567"/>
        </w:tabs>
        <w:ind w:left="567"/>
        <w:jc w:val="both"/>
        <w:rPr>
          <w:rFonts w:cs="Arial"/>
          <w:bCs/>
          <w:szCs w:val="24"/>
        </w:rPr>
      </w:pPr>
    </w:p>
    <w:p w14:paraId="19C1EB18" w14:textId="44E59EF9" w:rsidR="004E536E" w:rsidRDefault="004E536E" w:rsidP="004E536E">
      <w:pPr>
        <w:tabs>
          <w:tab w:val="left" w:pos="567"/>
        </w:tabs>
        <w:jc w:val="both"/>
        <w:rPr>
          <w:rFonts w:cs="Arial"/>
          <w:bCs/>
          <w:szCs w:val="24"/>
        </w:rPr>
      </w:pPr>
      <w:r>
        <w:rPr>
          <w:rFonts w:cs="Arial"/>
          <w:bCs/>
          <w:szCs w:val="24"/>
        </w:rPr>
        <w:tab/>
      </w:r>
      <w:r w:rsidRPr="00622FD5">
        <w:rPr>
          <w:rFonts w:cs="Arial"/>
          <w:bCs/>
          <w:sz w:val="20"/>
        </w:rPr>
        <w:t xml:space="preserve">Table </w:t>
      </w:r>
      <w:r w:rsidR="007C2C6D">
        <w:rPr>
          <w:rFonts w:cs="Arial"/>
          <w:bCs/>
          <w:sz w:val="20"/>
        </w:rPr>
        <w:t>7</w:t>
      </w:r>
      <w:r w:rsidRPr="00622FD5">
        <w:rPr>
          <w:rFonts w:cs="Arial"/>
          <w:bCs/>
          <w:sz w:val="20"/>
        </w:rPr>
        <w:t>: Borrowing Portfolio</w:t>
      </w:r>
    </w:p>
    <w:p w14:paraId="6788F888" w14:textId="6C830C8E" w:rsidR="004E536E" w:rsidRPr="004E536E" w:rsidRDefault="00622FD5" w:rsidP="004E536E">
      <w:pPr>
        <w:tabs>
          <w:tab w:val="left" w:pos="567"/>
        </w:tabs>
        <w:ind w:left="567"/>
        <w:rPr>
          <w:rFonts w:cs="Arial"/>
          <w:bCs/>
          <w:szCs w:val="24"/>
        </w:rPr>
      </w:pPr>
      <w:r w:rsidRPr="00622FD5">
        <w:rPr>
          <w:noProof/>
        </w:rPr>
        <w:drawing>
          <wp:inline distT="0" distB="0" distL="0" distR="0" wp14:anchorId="1E68E397" wp14:editId="1998D4AB">
            <wp:extent cx="5850890" cy="955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0890" cy="955675"/>
                    </a:xfrm>
                    <a:prstGeom prst="rect">
                      <a:avLst/>
                    </a:prstGeom>
                    <a:noFill/>
                    <a:ln>
                      <a:noFill/>
                    </a:ln>
                  </pic:spPr>
                </pic:pic>
              </a:graphicData>
            </a:graphic>
          </wp:inline>
        </w:drawing>
      </w:r>
    </w:p>
    <w:p w14:paraId="1B7702EF" w14:textId="6CCCD8E6" w:rsidR="000929A6" w:rsidRDefault="000929A6" w:rsidP="003634DA">
      <w:pPr>
        <w:jc w:val="both"/>
        <w:rPr>
          <w:szCs w:val="24"/>
        </w:rPr>
      </w:pPr>
    </w:p>
    <w:p w14:paraId="21B78202" w14:textId="39A3C9F2" w:rsidR="008711C4" w:rsidRPr="00CD4C00" w:rsidRDefault="008711C4" w:rsidP="008711C4">
      <w:pPr>
        <w:pStyle w:val="ListParagraph"/>
        <w:numPr>
          <w:ilvl w:val="0"/>
          <w:numId w:val="23"/>
        </w:numPr>
        <w:tabs>
          <w:tab w:val="left" w:pos="567"/>
        </w:tabs>
        <w:ind w:left="567" w:hanging="567"/>
        <w:jc w:val="both"/>
        <w:rPr>
          <w:rFonts w:cs="Arial"/>
          <w:bCs/>
          <w:szCs w:val="24"/>
        </w:rPr>
      </w:pPr>
      <w:bookmarkStart w:id="1" w:name="_Hlk76468100"/>
      <w:r w:rsidRPr="00CD4C00">
        <w:rPr>
          <w:rFonts w:cs="Arial"/>
          <w:bCs/>
          <w:szCs w:val="24"/>
        </w:rPr>
        <w:t>The maturity structure of the debt portfolio remained within the Prudential Indictor limits set as part of the 2020/21 Treasury Management Strategy.  The maturity structure table below includes one Lenders Option Borrowers Option (LOBO) market loan at its next call date, which is the earliest date the lender can require repayment</w:t>
      </w:r>
      <w:bookmarkStart w:id="2" w:name="_Hlk76469101"/>
      <w:r>
        <w:rPr>
          <w:rFonts w:cs="Arial"/>
          <w:bCs/>
          <w:szCs w:val="24"/>
        </w:rPr>
        <w:t xml:space="preserve">. </w:t>
      </w:r>
      <w:r w:rsidRPr="00CD4C00">
        <w:rPr>
          <w:rFonts w:cs="Arial"/>
          <w:bCs/>
          <w:szCs w:val="24"/>
        </w:rPr>
        <w:t>Table 8 reflects this position in respect of the maturity profile of the debt portfolio.</w:t>
      </w:r>
    </w:p>
    <w:bookmarkEnd w:id="1"/>
    <w:bookmarkEnd w:id="2"/>
    <w:p w14:paraId="26BAA799" w14:textId="61BC6947" w:rsidR="007C2C6D" w:rsidRPr="008711C4" w:rsidRDefault="007C2C6D" w:rsidP="00507F19">
      <w:pPr>
        <w:tabs>
          <w:tab w:val="left" w:pos="567"/>
        </w:tabs>
        <w:jc w:val="both"/>
        <w:rPr>
          <w:rFonts w:cs="Arial"/>
          <w:bCs/>
          <w:szCs w:val="24"/>
        </w:rPr>
      </w:pPr>
    </w:p>
    <w:p w14:paraId="141FBAB0" w14:textId="77777777" w:rsidR="007C2C6D" w:rsidRDefault="007C2C6D" w:rsidP="0095290A">
      <w:pPr>
        <w:pStyle w:val="ListParagraph"/>
        <w:tabs>
          <w:tab w:val="left" w:pos="567"/>
        </w:tabs>
        <w:ind w:left="567"/>
        <w:jc w:val="both"/>
        <w:rPr>
          <w:rFonts w:cs="Arial"/>
          <w:bCs/>
          <w:szCs w:val="24"/>
        </w:rPr>
      </w:pPr>
    </w:p>
    <w:p w14:paraId="2507B242" w14:textId="27040D2A" w:rsidR="00A94722" w:rsidRDefault="00A94722" w:rsidP="004E536E">
      <w:pPr>
        <w:pStyle w:val="ListParagraph"/>
        <w:tabs>
          <w:tab w:val="left" w:pos="567"/>
        </w:tabs>
        <w:ind w:left="567"/>
        <w:jc w:val="both"/>
        <w:rPr>
          <w:rFonts w:cs="Arial"/>
          <w:bCs/>
          <w:sz w:val="20"/>
        </w:rPr>
      </w:pPr>
    </w:p>
    <w:p w14:paraId="6179DEB2" w14:textId="77777777" w:rsidR="00A94722" w:rsidRDefault="00A94722" w:rsidP="004E536E">
      <w:pPr>
        <w:pStyle w:val="ListParagraph"/>
        <w:tabs>
          <w:tab w:val="left" w:pos="567"/>
        </w:tabs>
        <w:ind w:left="567"/>
        <w:jc w:val="both"/>
        <w:rPr>
          <w:rFonts w:cs="Arial"/>
          <w:bCs/>
          <w:sz w:val="20"/>
        </w:rPr>
      </w:pPr>
    </w:p>
    <w:p w14:paraId="6BCA1AA7" w14:textId="217BCA2C" w:rsidR="004E536E" w:rsidRDefault="004E536E" w:rsidP="004E536E">
      <w:pPr>
        <w:pStyle w:val="ListParagraph"/>
        <w:tabs>
          <w:tab w:val="left" w:pos="567"/>
        </w:tabs>
        <w:ind w:left="567"/>
        <w:jc w:val="both"/>
        <w:rPr>
          <w:rFonts w:cs="Arial"/>
          <w:bCs/>
          <w:sz w:val="20"/>
        </w:rPr>
      </w:pPr>
      <w:r w:rsidRPr="00622FD5">
        <w:rPr>
          <w:rFonts w:cs="Arial"/>
          <w:bCs/>
          <w:sz w:val="20"/>
        </w:rPr>
        <w:t xml:space="preserve">Table </w:t>
      </w:r>
      <w:r w:rsidR="007C2C6D">
        <w:rPr>
          <w:rFonts w:cs="Arial"/>
          <w:bCs/>
          <w:sz w:val="20"/>
        </w:rPr>
        <w:t>8</w:t>
      </w:r>
      <w:r w:rsidRPr="00622FD5">
        <w:rPr>
          <w:rFonts w:cs="Arial"/>
          <w:bCs/>
          <w:sz w:val="20"/>
        </w:rPr>
        <w:t>: Maturity Structure of Borrowing</w:t>
      </w:r>
    </w:p>
    <w:p w14:paraId="1674E34D" w14:textId="27ECFBC2" w:rsidR="008711C4" w:rsidRPr="00622FD5" w:rsidRDefault="008711C4" w:rsidP="004E536E">
      <w:pPr>
        <w:pStyle w:val="ListParagraph"/>
        <w:tabs>
          <w:tab w:val="left" w:pos="567"/>
        </w:tabs>
        <w:ind w:left="567"/>
        <w:jc w:val="both"/>
        <w:rPr>
          <w:rFonts w:cs="Arial"/>
          <w:bCs/>
          <w:sz w:val="20"/>
        </w:rPr>
      </w:pPr>
      <w:r>
        <w:rPr>
          <w:rFonts w:cs="Arial"/>
          <w:bCs/>
          <w:noProof/>
          <w:sz w:val="20"/>
        </w:rPr>
        <w:drawing>
          <wp:inline distT="0" distB="0" distL="0" distR="0" wp14:anchorId="332E4B6E" wp14:editId="1704A2FA">
            <wp:extent cx="5852795" cy="132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2795" cy="1329055"/>
                    </a:xfrm>
                    <a:prstGeom prst="rect">
                      <a:avLst/>
                    </a:prstGeom>
                    <a:noFill/>
                  </pic:spPr>
                </pic:pic>
              </a:graphicData>
            </a:graphic>
          </wp:inline>
        </w:drawing>
      </w:r>
    </w:p>
    <w:p w14:paraId="6F9969CA" w14:textId="44B2652A" w:rsidR="004E536E" w:rsidRDefault="004E536E" w:rsidP="004E536E">
      <w:pPr>
        <w:pStyle w:val="ListParagraph"/>
        <w:tabs>
          <w:tab w:val="left" w:pos="567"/>
        </w:tabs>
        <w:ind w:left="567"/>
        <w:jc w:val="both"/>
        <w:rPr>
          <w:rFonts w:cs="Arial"/>
          <w:bCs/>
          <w:szCs w:val="24"/>
        </w:rPr>
      </w:pPr>
    </w:p>
    <w:p w14:paraId="3F0A5394" w14:textId="0A3533D1" w:rsidR="00567953" w:rsidRDefault="00567953" w:rsidP="004E536E">
      <w:pPr>
        <w:pStyle w:val="ListParagraph"/>
        <w:tabs>
          <w:tab w:val="left" w:pos="567"/>
        </w:tabs>
        <w:ind w:left="567"/>
        <w:jc w:val="both"/>
        <w:rPr>
          <w:rFonts w:cs="Arial"/>
          <w:bCs/>
          <w:szCs w:val="24"/>
        </w:rPr>
      </w:pPr>
    </w:p>
    <w:p w14:paraId="09A9D7A2" w14:textId="1C36119C" w:rsidR="004E536E" w:rsidRPr="00567953" w:rsidRDefault="00567953" w:rsidP="008541B7">
      <w:pPr>
        <w:pStyle w:val="ListParagraph"/>
        <w:numPr>
          <w:ilvl w:val="0"/>
          <w:numId w:val="23"/>
        </w:numPr>
        <w:tabs>
          <w:tab w:val="left" w:pos="567"/>
        </w:tabs>
        <w:ind w:left="567" w:hanging="567"/>
        <w:jc w:val="both"/>
        <w:rPr>
          <w:szCs w:val="24"/>
        </w:rPr>
      </w:pPr>
      <w:r w:rsidRPr="00567953">
        <w:rPr>
          <w:rFonts w:cs="Arial"/>
          <w:bCs/>
          <w:szCs w:val="24"/>
        </w:rPr>
        <w:t xml:space="preserve">Appendix 2 provides a summary of PWLB maturity loan certainty rates across 2020/21 over various durations </w:t>
      </w:r>
      <w:r>
        <w:rPr>
          <w:rFonts w:cs="Arial"/>
          <w:bCs/>
          <w:szCs w:val="24"/>
        </w:rPr>
        <w:t>from 1-50 years.</w:t>
      </w:r>
    </w:p>
    <w:p w14:paraId="2740FDD1" w14:textId="77777777" w:rsidR="00567953" w:rsidRPr="00567953" w:rsidRDefault="00567953" w:rsidP="00567953">
      <w:pPr>
        <w:pStyle w:val="ListParagraph"/>
        <w:tabs>
          <w:tab w:val="left" w:pos="567"/>
        </w:tabs>
        <w:ind w:left="567"/>
        <w:jc w:val="both"/>
        <w:rPr>
          <w:szCs w:val="24"/>
        </w:rPr>
      </w:pPr>
    </w:p>
    <w:p w14:paraId="5FE18E3D" w14:textId="77777777"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Investment Outturn</w:t>
      </w:r>
    </w:p>
    <w:p w14:paraId="6B1AA9CD" w14:textId="6A4F4A64"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The Council made investments throughout 20</w:t>
      </w:r>
      <w:r w:rsidR="0095290A">
        <w:rPr>
          <w:rFonts w:cs="Arial"/>
          <w:bCs/>
          <w:szCs w:val="24"/>
        </w:rPr>
        <w:t>20</w:t>
      </w:r>
      <w:r w:rsidRPr="004E536E">
        <w:rPr>
          <w:rFonts w:cs="Arial"/>
          <w:bCs/>
          <w:szCs w:val="24"/>
        </w:rPr>
        <w:t>/2</w:t>
      </w:r>
      <w:r w:rsidR="0095290A">
        <w:rPr>
          <w:rFonts w:cs="Arial"/>
          <w:bCs/>
          <w:szCs w:val="24"/>
        </w:rPr>
        <w:t>1</w:t>
      </w:r>
      <w:r w:rsidRPr="004E536E">
        <w:rPr>
          <w:rFonts w:cs="Arial"/>
          <w:bCs/>
          <w:szCs w:val="24"/>
        </w:rPr>
        <w:t xml:space="preserve"> in accordance with the Treasury Management Strategy approved by Full Council </w:t>
      </w:r>
      <w:r w:rsidR="00FC000E">
        <w:rPr>
          <w:rFonts w:cs="Arial"/>
          <w:bCs/>
          <w:szCs w:val="24"/>
        </w:rPr>
        <w:t>in February 2020.</w:t>
      </w:r>
      <w:r w:rsidRPr="004E536E">
        <w:rPr>
          <w:rFonts w:cs="Arial"/>
          <w:bCs/>
          <w:szCs w:val="24"/>
        </w:rPr>
        <w:t xml:space="preserve"> </w:t>
      </w:r>
    </w:p>
    <w:p w14:paraId="3417E3A3" w14:textId="77777777" w:rsidR="004E536E" w:rsidRPr="004E536E" w:rsidRDefault="004E536E" w:rsidP="004E536E">
      <w:pPr>
        <w:pStyle w:val="ListParagraph"/>
        <w:tabs>
          <w:tab w:val="left" w:pos="567"/>
        </w:tabs>
        <w:ind w:left="567"/>
        <w:jc w:val="both"/>
        <w:rPr>
          <w:rFonts w:cs="Arial"/>
          <w:bCs/>
          <w:szCs w:val="24"/>
        </w:rPr>
      </w:pPr>
    </w:p>
    <w:p w14:paraId="67912F2A" w14:textId="1E521E6C" w:rsidR="00BB6AD4" w:rsidRDefault="004E536E" w:rsidP="0075654A">
      <w:pPr>
        <w:pStyle w:val="ListParagraph"/>
        <w:numPr>
          <w:ilvl w:val="0"/>
          <w:numId w:val="23"/>
        </w:numPr>
        <w:tabs>
          <w:tab w:val="left" w:pos="567"/>
        </w:tabs>
        <w:ind w:left="567" w:hanging="567"/>
        <w:jc w:val="both"/>
        <w:rPr>
          <w:rFonts w:cs="Arial"/>
          <w:bCs/>
          <w:szCs w:val="24"/>
        </w:rPr>
      </w:pPr>
      <w:r w:rsidRPr="0095290A">
        <w:rPr>
          <w:rFonts w:cs="Arial"/>
          <w:bCs/>
          <w:szCs w:val="24"/>
        </w:rPr>
        <w:t>Due to the internal borrowing strategy being undertaken by the Council, cash balances continued to be held</w:t>
      </w:r>
      <w:r w:rsidR="0095290A" w:rsidRPr="0095290A">
        <w:rPr>
          <w:rFonts w:cs="Arial"/>
          <w:bCs/>
          <w:szCs w:val="24"/>
        </w:rPr>
        <w:t xml:space="preserve"> on a </w:t>
      </w:r>
      <w:proofErr w:type="gramStart"/>
      <w:r w:rsidR="0095290A" w:rsidRPr="0095290A">
        <w:rPr>
          <w:rFonts w:cs="Arial"/>
          <w:bCs/>
          <w:szCs w:val="24"/>
        </w:rPr>
        <w:t>short term</w:t>
      </w:r>
      <w:proofErr w:type="gramEnd"/>
      <w:r w:rsidR="0095290A" w:rsidRPr="0095290A">
        <w:rPr>
          <w:rFonts w:cs="Arial"/>
          <w:bCs/>
          <w:szCs w:val="24"/>
        </w:rPr>
        <w:t xml:space="preserve"> basis</w:t>
      </w:r>
      <w:r w:rsidRPr="0095290A">
        <w:rPr>
          <w:rFonts w:cs="Arial"/>
          <w:bCs/>
          <w:szCs w:val="24"/>
        </w:rPr>
        <w:t xml:space="preserve"> for liquidity purposes, in Money Market Funds and banks</w:t>
      </w:r>
      <w:r w:rsidR="00BB6AD4">
        <w:rPr>
          <w:rFonts w:cs="Arial"/>
          <w:bCs/>
          <w:szCs w:val="24"/>
        </w:rPr>
        <w:t xml:space="preserve"> throughout 2020/21</w:t>
      </w:r>
      <w:r w:rsidRPr="0095290A">
        <w:rPr>
          <w:rFonts w:cs="Arial"/>
          <w:bCs/>
          <w:szCs w:val="24"/>
        </w:rPr>
        <w:t>.</w:t>
      </w:r>
      <w:r w:rsidR="000F048D">
        <w:rPr>
          <w:rFonts w:cs="Arial"/>
          <w:bCs/>
          <w:szCs w:val="24"/>
        </w:rPr>
        <w:t xml:space="preserve">  Adding to the need to maintain liquid investment balances was the uncertainty surrounding the response to the Covid-19 pandemic and the role of the Authority in relation to supporting the Governments response to businesses.</w:t>
      </w:r>
    </w:p>
    <w:p w14:paraId="50D6CCC4" w14:textId="77777777" w:rsidR="00BB6AD4" w:rsidRPr="00BB6AD4" w:rsidRDefault="00BB6AD4" w:rsidP="00BB6AD4">
      <w:pPr>
        <w:pStyle w:val="ListParagraph"/>
        <w:rPr>
          <w:rFonts w:cs="Arial"/>
          <w:bCs/>
          <w:szCs w:val="24"/>
        </w:rPr>
      </w:pPr>
    </w:p>
    <w:p w14:paraId="7FD29F3F" w14:textId="504AB572" w:rsidR="00567953" w:rsidRDefault="00BB6AD4" w:rsidP="003C54FD">
      <w:pPr>
        <w:pStyle w:val="ListParagraph"/>
        <w:numPr>
          <w:ilvl w:val="0"/>
          <w:numId w:val="23"/>
        </w:numPr>
        <w:tabs>
          <w:tab w:val="left" w:pos="567"/>
        </w:tabs>
        <w:ind w:left="567" w:hanging="567"/>
        <w:jc w:val="both"/>
        <w:rPr>
          <w:rFonts w:cs="Arial"/>
          <w:bCs/>
          <w:szCs w:val="24"/>
        </w:rPr>
      </w:pPr>
      <w:r>
        <w:rPr>
          <w:rFonts w:cs="Arial"/>
          <w:bCs/>
          <w:szCs w:val="24"/>
        </w:rPr>
        <w:t>Investment returns which had been low during 2019/20 dropped even further during 2020/21 as the response to the</w:t>
      </w:r>
      <w:r w:rsidR="003C54FD">
        <w:rPr>
          <w:rFonts w:cs="Arial"/>
          <w:bCs/>
          <w:szCs w:val="24"/>
        </w:rPr>
        <w:t xml:space="preserve"> Covid-19</w:t>
      </w:r>
      <w:r>
        <w:rPr>
          <w:rFonts w:cs="Arial"/>
          <w:bCs/>
          <w:szCs w:val="24"/>
        </w:rPr>
        <w:t xml:space="preserve"> pandemic led to the Bank of England Base Rate reducing to 0.1%.  The subsequent effect on short term investments rates resulted in near zero returns and at points during the year negative interest rates</w:t>
      </w:r>
      <w:r w:rsidR="00C57F30">
        <w:rPr>
          <w:rFonts w:cs="Arial"/>
          <w:bCs/>
          <w:szCs w:val="24"/>
        </w:rPr>
        <w:t xml:space="preserve"> were offered</w:t>
      </w:r>
      <w:r>
        <w:rPr>
          <w:rFonts w:cs="Arial"/>
          <w:bCs/>
          <w:szCs w:val="24"/>
        </w:rPr>
        <w:t xml:space="preserve"> from market providers.</w:t>
      </w:r>
      <w:r w:rsidR="00C57F30">
        <w:rPr>
          <w:rFonts w:cs="Arial"/>
          <w:bCs/>
          <w:szCs w:val="24"/>
        </w:rPr>
        <w:t xml:space="preserve">  Appendix 2 illustrates</w:t>
      </w:r>
      <w:r w:rsidR="003E367E">
        <w:rPr>
          <w:rFonts w:cs="Arial"/>
          <w:bCs/>
          <w:szCs w:val="24"/>
        </w:rPr>
        <w:t xml:space="preserve"> the highs and lows for</w:t>
      </w:r>
      <w:r w:rsidR="00C57F30">
        <w:rPr>
          <w:rFonts w:cs="Arial"/>
          <w:bCs/>
          <w:szCs w:val="24"/>
        </w:rPr>
        <w:t xml:space="preserve"> money market investment rates</w:t>
      </w:r>
      <w:r w:rsidR="003E367E">
        <w:rPr>
          <w:rFonts w:cs="Arial"/>
          <w:bCs/>
          <w:szCs w:val="24"/>
        </w:rPr>
        <w:t xml:space="preserve"> for periods</w:t>
      </w:r>
      <w:r w:rsidR="00C57F30">
        <w:rPr>
          <w:rFonts w:cs="Arial"/>
          <w:bCs/>
          <w:szCs w:val="24"/>
        </w:rPr>
        <w:t xml:space="preserve"> </w:t>
      </w:r>
      <w:r w:rsidR="003E367E">
        <w:rPr>
          <w:rFonts w:cs="Arial"/>
          <w:bCs/>
          <w:szCs w:val="24"/>
        </w:rPr>
        <w:t>out to 12 months.</w:t>
      </w:r>
    </w:p>
    <w:p w14:paraId="4E3432D1" w14:textId="77777777" w:rsidR="00567953" w:rsidRPr="00567953" w:rsidRDefault="00567953" w:rsidP="00567953">
      <w:pPr>
        <w:pStyle w:val="ListParagraph"/>
        <w:rPr>
          <w:rFonts w:cs="Arial"/>
          <w:bCs/>
          <w:szCs w:val="24"/>
        </w:rPr>
      </w:pPr>
    </w:p>
    <w:p w14:paraId="39D7B30A" w14:textId="42BF5FEA" w:rsidR="003C54FD" w:rsidRDefault="00BB6AD4" w:rsidP="003C54FD">
      <w:pPr>
        <w:pStyle w:val="ListParagraph"/>
        <w:numPr>
          <w:ilvl w:val="0"/>
          <w:numId w:val="23"/>
        </w:numPr>
        <w:tabs>
          <w:tab w:val="left" w:pos="567"/>
        </w:tabs>
        <w:ind w:left="567" w:hanging="567"/>
        <w:jc w:val="both"/>
        <w:rPr>
          <w:rFonts w:cs="Arial"/>
          <w:bCs/>
          <w:szCs w:val="24"/>
        </w:rPr>
      </w:pPr>
      <w:r w:rsidRPr="00EA40A9">
        <w:rPr>
          <w:rFonts w:cs="Arial"/>
          <w:bCs/>
          <w:color w:val="000000" w:themeColor="text1"/>
          <w:szCs w:val="24"/>
        </w:rPr>
        <w:t xml:space="preserve">While the Authority avoided making any investments at negative interest rates, </w:t>
      </w:r>
      <w:r>
        <w:rPr>
          <w:rFonts w:cs="Arial"/>
          <w:bCs/>
          <w:szCs w:val="24"/>
        </w:rPr>
        <w:t>returns from</w:t>
      </w:r>
      <w:r w:rsidR="003C54FD">
        <w:rPr>
          <w:rFonts w:cs="Arial"/>
          <w:bCs/>
          <w:szCs w:val="24"/>
        </w:rPr>
        <w:t xml:space="preserve"> short term investments with</w:t>
      </w:r>
      <w:r>
        <w:rPr>
          <w:rFonts w:cs="Arial"/>
          <w:bCs/>
          <w:szCs w:val="24"/>
        </w:rPr>
        <w:t xml:space="preserve"> MMFs and banks have been</w:t>
      </w:r>
      <w:r w:rsidR="003E367E">
        <w:rPr>
          <w:rFonts w:cs="Arial"/>
          <w:bCs/>
          <w:szCs w:val="24"/>
        </w:rPr>
        <w:t xml:space="preserve"> at or</w:t>
      </w:r>
      <w:r>
        <w:rPr>
          <w:rFonts w:cs="Arial"/>
          <w:bCs/>
          <w:szCs w:val="24"/>
        </w:rPr>
        <w:t xml:space="preserve"> near zero and at the 31</w:t>
      </w:r>
      <w:r w:rsidRPr="00BB6AD4">
        <w:rPr>
          <w:rFonts w:cs="Arial"/>
          <w:bCs/>
          <w:szCs w:val="24"/>
          <w:vertAlign w:val="superscript"/>
        </w:rPr>
        <w:t>st</w:t>
      </w:r>
      <w:r>
        <w:rPr>
          <w:rFonts w:cs="Arial"/>
          <w:bCs/>
          <w:szCs w:val="24"/>
        </w:rPr>
        <w:t xml:space="preserve"> March 2021 the </w:t>
      </w:r>
      <w:r w:rsidR="003C54FD">
        <w:rPr>
          <w:rFonts w:cs="Arial"/>
          <w:bCs/>
          <w:szCs w:val="24"/>
        </w:rPr>
        <w:t>biggest return within the portfolio was the 32 day notice account with Lloyds which was returning 0.03%.</w:t>
      </w:r>
    </w:p>
    <w:p w14:paraId="6C5FFF5B" w14:textId="77777777" w:rsidR="0095290A" w:rsidRPr="0095290A" w:rsidRDefault="0095290A" w:rsidP="0095290A">
      <w:pPr>
        <w:pStyle w:val="ListParagraph"/>
        <w:rPr>
          <w:rFonts w:cs="Arial"/>
          <w:bCs/>
          <w:szCs w:val="24"/>
        </w:rPr>
      </w:pPr>
    </w:p>
    <w:p w14:paraId="774D526C" w14:textId="28973771" w:rsidR="0095290A" w:rsidRDefault="0095290A" w:rsidP="0075654A">
      <w:pPr>
        <w:pStyle w:val="ListParagraph"/>
        <w:numPr>
          <w:ilvl w:val="0"/>
          <w:numId w:val="23"/>
        </w:numPr>
        <w:tabs>
          <w:tab w:val="left" w:pos="567"/>
        </w:tabs>
        <w:ind w:left="567" w:hanging="567"/>
        <w:jc w:val="both"/>
        <w:rPr>
          <w:rFonts w:cs="Arial"/>
          <w:bCs/>
          <w:szCs w:val="24"/>
        </w:rPr>
      </w:pPr>
      <w:r>
        <w:rPr>
          <w:rFonts w:cs="Arial"/>
          <w:bCs/>
          <w:szCs w:val="24"/>
        </w:rPr>
        <w:t xml:space="preserve">The Authority’s average monthly investment balance was £89m </w:t>
      </w:r>
      <w:r w:rsidR="003C54FD">
        <w:rPr>
          <w:rFonts w:cs="Arial"/>
          <w:bCs/>
          <w:szCs w:val="24"/>
        </w:rPr>
        <w:t>across</w:t>
      </w:r>
      <w:r>
        <w:rPr>
          <w:rFonts w:cs="Arial"/>
          <w:bCs/>
          <w:szCs w:val="24"/>
        </w:rPr>
        <w:t xml:space="preserve"> 2020/21, returning an average rate of return of 0.04% (£79m </w:t>
      </w:r>
      <w:r w:rsidR="00BB6AD4">
        <w:rPr>
          <w:rFonts w:cs="Arial"/>
          <w:bCs/>
          <w:szCs w:val="24"/>
        </w:rPr>
        <w:t>at 0.5% in 2019/20).</w:t>
      </w:r>
    </w:p>
    <w:p w14:paraId="64490625" w14:textId="77777777" w:rsidR="0095290A" w:rsidRPr="0095290A" w:rsidRDefault="0095290A" w:rsidP="0095290A">
      <w:pPr>
        <w:tabs>
          <w:tab w:val="left" w:pos="567"/>
        </w:tabs>
        <w:jc w:val="both"/>
        <w:rPr>
          <w:rFonts w:cs="Arial"/>
          <w:bCs/>
          <w:szCs w:val="24"/>
        </w:rPr>
      </w:pPr>
    </w:p>
    <w:p w14:paraId="53011F22" w14:textId="72993431"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 xml:space="preserve">The investment portfolio remained highly liquid throughout </w:t>
      </w:r>
      <w:r w:rsidR="003C54FD">
        <w:rPr>
          <w:rFonts w:cs="Arial"/>
          <w:bCs/>
          <w:szCs w:val="24"/>
        </w:rPr>
        <w:t>2020/21</w:t>
      </w:r>
      <w:r w:rsidRPr="004E536E">
        <w:rPr>
          <w:rFonts w:cs="Arial"/>
          <w:bCs/>
          <w:szCs w:val="24"/>
        </w:rPr>
        <w:t>. Investments increased from £</w:t>
      </w:r>
      <w:r w:rsidR="003C54FD">
        <w:rPr>
          <w:rFonts w:cs="Arial"/>
          <w:bCs/>
          <w:szCs w:val="24"/>
        </w:rPr>
        <w:t>65</w:t>
      </w:r>
      <w:r w:rsidRPr="004E536E">
        <w:rPr>
          <w:rFonts w:cs="Arial"/>
          <w:bCs/>
          <w:szCs w:val="24"/>
        </w:rPr>
        <w:t>m to £</w:t>
      </w:r>
      <w:r w:rsidR="003C54FD">
        <w:rPr>
          <w:rFonts w:cs="Arial"/>
          <w:bCs/>
          <w:szCs w:val="24"/>
        </w:rPr>
        <w:t>82</w:t>
      </w:r>
      <w:r w:rsidRPr="004E536E">
        <w:rPr>
          <w:rFonts w:cs="Arial"/>
          <w:bCs/>
          <w:szCs w:val="24"/>
        </w:rPr>
        <w:t>m over the year while the average rate of interest reduced from 0.</w:t>
      </w:r>
      <w:r w:rsidR="003C54FD">
        <w:rPr>
          <w:rFonts w:cs="Arial"/>
          <w:bCs/>
          <w:szCs w:val="24"/>
        </w:rPr>
        <w:t>19</w:t>
      </w:r>
      <w:r w:rsidRPr="004E536E">
        <w:rPr>
          <w:rFonts w:cs="Arial"/>
          <w:bCs/>
          <w:szCs w:val="24"/>
        </w:rPr>
        <w:t>% as at 31st March 20</w:t>
      </w:r>
      <w:r w:rsidR="003C54FD">
        <w:rPr>
          <w:rFonts w:cs="Arial"/>
          <w:bCs/>
          <w:szCs w:val="24"/>
        </w:rPr>
        <w:t>20</w:t>
      </w:r>
      <w:r w:rsidRPr="004E536E">
        <w:rPr>
          <w:rFonts w:cs="Arial"/>
          <w:bCs/>
          <w:szCs w:val="24"/>
        </w:rPr>
        <w:t xml:space="preserve"> to 0.</w:t>
      </w:r>
      <w:r w:rsidR="003C54FD">
        <w:rPr>
          <w:rFonts w:cs="Arial"/>
          <w:bCs/>
          <w:szCs w:val="24"/>
        </w:rPr>
        <w:t>01</w:t>
      </w:r>
      <w:r w:rsidRPr="004E536E">
        <w:rPr>
          <w:rFonts w:cs="Arial"/>
          <w:bCs/>
          <w:szCs w:val="24"/>
        </w:rPr>
        <w:t>% as at 31st March 202</w:t>
      </w:r>
      <w:r w:rsidR="003C54FD">
        <w:rPr>
          <w:rFonts w:cs="Arial"/>
          <w:bCs/>
          <w:szCs w:val="24"/>
        </w:rPr>
        <w:t>1</w:t>
      </w:r>
      <w:r w:rsidRPr="004E536E">
        <w:rPr>
          <w:rFonts w:cs="Arial"/>
          <w:bCs/>
          <w:szCs w:val="24"/>
        </w:rPr>
        <w:t xml:space="preserve">.  </w:t>
      </w:r>
    </w:p>
    <w:p w14:paraId="776EBB9D" w14:textId="0A71585C" w:rsidR="00A86F66" w:rsidRDefault="00A86F66" w:rsidP="00A86F66">
      <w:pPr>
        <w:pStyle w:val="ListParagraph"/>
        <w:rPr>
          <w:rFonts w:cs="Arial"/>
          <w:bCs/>
          <w:szCs w:val="24"/>
        </w:rPr>
      </w:pPr>
    </w:p>
    <w:p w14:paraId="39577D11" w14:textId="6C65BF21" w:rsidR="00D84C1F" w:rsidRDefault="00D84C1F" w:rsidP="00A86F66">
      <w:pPr>
        <w:pStyle w:val="ListParagraph"/>
        <w:rPr>
          <w:rFonts w:cs="Arial"/>
          <w:bCs/>
          <w:szCs w:val="24"/>
        </w:rPr>
      </w:pPr>
    </w:p>
    <w:p w14:paraId="1662398C" w14:textId="51465A58" w:rsidR="00D84C1F" w:rsidRDefault="00D84C1F" w:rsidP="00A86F66">
      <w:pPr>
        <w:pStyle w:val="ListParagraph"/>
        <w:rPr>
          <w:rFonts w:cs="Arial"/>
          <w:bCs/>
          <w:szCs w:val="24"/>
        </w:rPr>
      </w:pPr>
    </w:p>
    <w:p w14:paraId="1304BB70" w14:textId="37976685" w:rsidR="00D84C1F" w:rsidRDefault="00D84C1F" w:rsidP="00A86F66">
      <w:pPr>
        <w:pStyle w:val="ListParagraph"/>
        <w:rPr>
          <w:rFonts w:cs="Arial"/>
          <w:bCs/>
          <w:szCs w:val="24"/>
        </w:rPr>
      </w:pPr>
    </w:p>
    <w:p w14:paraId="4644C3F3" w14:textId="77777777" w:rsidR="00D84C1F" w:rsidRDefault="00D84C1F" w:rsidP="00A86F66">
      <w:pPr>
        <w:pStyle w:val="ListParagraph"/>
        <w:rPr>
          <w:rFonts w:cs="Arial"/>
          <w:bCs/>
          <w:szCs w:val="24"/>
        </w:rPr>
      </w:pPr>
    </w:p>
    <w:p w14:paraId="51B2AFAF" w14:textId="334E5143" w:rsidR="008711C4" w:rsidRDefault="008711C4" w:rsidP="00A86F66">
      <w:pPr>
        <w:pStyle w:val="ListParagraph"/>
        <w:rPr>
          <w:rFonts w:cs="Arial"/>
          <w:bCs/>
          <w:szCs w:val="24"/>
        </w:rPr>
      </w:pPr>
    </w:p>
    <w:p w14:paraId="5E905586" w14:textId="622DDBE1" w:rsidR="00A94722" w:rsidRDefault="00A94722" w:rsidP="00A86F66">
      <w:pPr>
        <w:pStyle w:val="ListParagraph"/>
        <w:rPr>
          <w:rFonts w:cs="Arial"/>
          <w:bCs/>
          <w:szCs w:val="24"/>
        </w:rPr>
      </w:pPr>
    </w:p>
    <w:p w14:paraId="14593DA7" w14:textId="3E9EED42" w:rsidR="00A94722" w:rsidRDefault="00A94722" w:rsidP="00A86F66">
      <w:pPr>
        <w:pStyle w:val="ListParagraph"/>
        <w:rPr>
          <w:rFonts w:cs="Arial"/>
          <w:bCs/>
          <w:szCs w:val="24"/>
        </w:rPr>
      </w:pPr>
    </w:p>
    <w:p w14:paraId="7200E2A7" w14:textId="77777777" w:rsidR="00A94722" w:rsidRDefault="00A94722" w:rsidP="00A86F66">
      <w:pPr>
        <w:pStyle w:val="ListParagraph"/>
        <w:rPr>
          <w:rFonts w:cs="Arial"/>
          <w:bCs/>
          <w:szCs w:val="24"/>
        </w:rPr>
      </w:pPr>
    </w:p>
    <w:p w14:paraId="7AC0202C" w14:textId="423C7BB9" w:rsidR="00A86F66" w:rsidRPr="003C54FD" w:rsidRDefault="00A86F66" w:rsidP="00A86F66">
      <w:pPr>
        <w:pStyle w:val="ListParagraph"/>
        <w:ind w:left="567"/>
        <w:rPr>
          <w:rFonts w:cs="Arial"/>
          <w:bCs/>
          <w:sz w:val="20"/>
        </w:rPr>
      </w:pPr>
      <w:r w:rsidRPr="003C54FD">
        <w:rPr>
          <w:rFonts w:cs="Arial"/>
          <w:bCs/>
          <w:sz w:val="20"/>
        </w:rPr>
        <w:t xml:space="preserve">Table </w:t>
      </w:r>
      <w:r w:rsidR="007C2C6D">
        <w:rPr>
          <w:rFonts w:cs="Arial"/>
          <w:bCs/>
          <w:sz w:val="20"/>
        </w:rPr>
        <w:t>9</w:t>
      </w:r>
      <w:r w:rsidRPr="003C54FD">
        <w:rPr>
          <w:rFonts w:cs="Arial"/>
          <w:bCs/>
          <w:sz w:val="20"/>
        </w:rPr>
        <w:t>: Investment Portfolio</w:t>
      </w:r>
    </w:p>
    <w:p w14:paraId="6A3D4B4C" w14:textId="4AC8D05D" w:rsidR="007C2C6D" w:rsidRDefault="003C54FD" w:rsidP="00507F19">
      <w:pPr>
        <w:tabs>
          <w:tab w:val="left" w:pos="567"/>
        </w:tabs>
        <w:ind w:left="567"/>
        <w:jc w:val="both"/>
        <w:rPr>
          <w:szCs w:val="24"/>
        </w:rPr>
      </w:pPr>
      <w:r w:rsidRPr="003C54FD">
        <w:rPr>
          <w:noProof/>
        </w:rPr>
        <w:drawing>
          <wp:inline distT="0" distB="0" distL="0" distR="0" wp14:anchorId="4F88AD8D" wp14:editId="6AE21DA3">
            <wp:extent cx="5850890" cy="9709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0890" cy="970915"/>
                    </a:xfrm>
                    <a:prstGeom prst="rect">
                      <a:avLst/>
                    </a:prstGeom>
                    <a:noFill/>
                    <a:ln>
                      <a:noFill/>
                    </a:ln>
                  </pic:spPr>
                </pic:pic>
              </a:graphicData>
            </a:graphic>
          </wp:inline>
        </w:drawing>
      </w:r>
    </w:p>
    <w:p w14:paraId="123E7859" w14:textId="019BAA6E" w:rsidR="000F048D" w:rsidRDefault="000F048D" w:rsidP="003634DA">
      <w:pPr>
        <w:jc w:val="both"/>
        <w:rPr>
          <w:szCs w:val="24"/>
        </w:rPr>
      </w:pPr>
    </w:p>
    <w:p w14:paraId="4BE5E500" w14:textId="77777777" w:rsidR="000F048D" w:rsidRDefault="000F048D" w:rsidP="003634DA">
      <w:pPr>
        <w:jc w:val="both"/>
        <w:rPr>
          <w:szCs w:val="24"/>
        </w:rPr>
      </w:pPr>
    </w:p>
    <w:p w14:paraId="5F5798F4" w14:textId="3E78EB4D" w:rsidR="00A86F66" w:rsidRPr="003C54FD" w:rsidRDefault="00A86F66" w:rsidP="00A332A5">
      <w:pPr>
        <w:pStyle w:val="ListParagraph"/>
        <w:numPr>
          <w:ilvl w:val="0"/>
          <w:numId w:val="24"/>
        </w:numPr>
        <w:ind w:left="567" w:hanging="567"/>
        <w:jc w:val="both"/>
        <w:rPr>
          <w:b/>
          <w:bCs/>
          <w:szCs w:val="24"/>
        </w:rPr>
      </w:pPr>
      <w:r w:rsidRPr="003C54FD">
        <w:rPr>
          <w:b/>
          <w:bCs/>
          <w:szCs w:val="24"/>
        </w:rPr>
        <w:t>Treasury Management Strategy for 2020/21</w:t>
      </w:r>
    </w:p>
    <w:p w14:paraId="3FE7B64D" w14:textId="77777777" w:rsidR="00A86F66" w:rsidRPr="00A86F66" w:rsidRDefault="00A86F66" w:rsidP="00A86F66">
      <w:pPr>
        <w:pStyle w:val="ListParagraph"/>
        <w:ind w:left="426"/>
        <w:jc w:val="both"/>
        <w:rPr>
          <w:szCs w:val="24"/>
        </w:rPr>
      </w:pPr>
    </w:p>
    <w:p w14:paraId="549F5D4A" w14:textId="77777777" w:rsidR="00A86F66" w:rsidRPr="000F048D" w:rsidRDefault="00A86F66" w:rsidP="000F048D">
      <w:pPr>
        <w:pStyle w:val="ListParagraph"/>
        <w:spacing w:after="120"/>
        <w:ind w:left="567"/>
        <w:jc w:val="both"/>
        <w:rPr>
          <w:rFonts w:cs="Arial"/>
          <w:color w:val="0D0D0D" w:themeColor="text1" w:themeTint="F2"/>
          <w:szCs w:val="24"/>
          <w:u w:val="single"/>
        </w:rPr>
      </w:pPr>
      <w:r w:rsidRPr="00A86F66">
        <w:rPr>
          <w:rFonts w:cs="Arial"/>
          <w:color w:val="0D0D0D" w:themeColor="text1" w:themeTint="F2"/>
          <w:szCs w:val="24"/>
          <w:u w:val="single"/>
        </w:rPr>
        <w:t>Investment strategy and control of interest rate risk</w:t>
      </w:r>
    </w:p>
    <w:p w14:paraId="6FE56D92" w14:textId="18620682" w:rsidR="003C54FD" w:rsidRPr="000F048D" w:rsidRDefault="003C54FD" w:rsidP="000F048D">
      <w:pPr>
        <w:pStyle w:val="ListParagraph"/>
        <w:numPr>
          <w:ilvl w:val="0"/>
          <w:numId w:val="24"/>
        </w:numPr>
        <w:ind w:left="567" w:hanging="567"/>
        <w:jc w:val="both"/>
        <w:rPr>
          <w:szCs w:val="24"/>
        </w:rPr>
      </w:pPr>
      <w:r w:rsidRPr="003C54FD">
        <w:rPr>
          <w:szCs w:val="24"/>
        </w:rPr>
        <w:t xml:space="preserve">Investment returns which had been low during 2019/20, </w:t>
      </w:r>
      <w:r w:rsidR="003E367E">
        <w:rPr>
          <w:szCs w:val="24"/>
        </w:rPr>
        <w:t>fell</w:t>
      </w:r>
      <w:r w:rsidRPr="003C54FD">
        <w:rPr>
          <w:szCs w:val="24"/>
        </w:rPr>
        <w:t xml:space="preserve"> during 2020/21 to near zero or even into negative territory</w:t>
      </w:r>
      <w:r w:rsidR="007C2C6D">
        <w:rPr>
          <w:szCs w:val="24"/>
        </w:rPr>
        <w:t xml:space="preserve">, particularly in </w:t>
      </w:r>
      <w:r w:rsidR="000279A2">
        <w:rPr>
          <w:szCs w:val="24"/>
        </w:rPr>
        <w:t>short</w:t>
      </w:r>
      <w:r w:rsidR="000F048D">
        <w:rPr>
          <w:szCs w:val="24"/>
        </w:rPr>
        <w:t xml:space="preserve"> term durations</w:t>
      </w:r>
      <w:r w:rsidRPr="003C54FD">
        <w:rPr>
          <w:szCs w:val="24"/>
        </w:rPr>
        <w:t>.</w:t>
      </w:r>
      <w:r w:rsidR="007C2C6D" w:rsidRPr="000F048D">
        <w:rPr>
          <w:szCs w:val="24"/>
        </w:rPr>
        <w:t xml:space="preserve"> </w:t>
      </w:r>
    </w:p>
    <w:p w14:paraId="34110ADB" w14:textId="77777777" w:rsidR="003C54FD" w:rsidRDefault="003C54FD" w:rsidP="003C54FD">
      <w:pPr>
        <w:pStyle w:val="ListParagraph"/>
        <w:ind w:left="426"/>
        <w:jc w:val="both"/>
        <w:rPr>
          <w:szCs w:val="24"/>
        </w:rPr>
      </w:pPr>
    </w:p>
    <w:p w14:paraId="1DC86884" w14:textId="01C06B1A" w:rsidR="00C320DB" w:rsidRPr="00C320DB" w:rsidRDefault="003C54FD" w:rsidP="00A332A5">
      <w:pPr>
        <w:pStyle w:val="ListParagraph"/>
        <w:numPr>
          <w:ilvl w:val="0"/>
          <w:numId w:val="24"/>
        </w:numPr>
        <w:ind w:left="567" w:hanging="567"/>
        <w:jc w:val="both"/>
        <w:rPr>
          <w:szCs w:val="24"/>
        </w:rPr>
      </w:pPr>
      <w:r w:rsidRPr="003C54FD">
        <w:rPr>
          <w:szCs w:val="24"/>
        </w:rPr>
        <w:t>The expectation for interest rates within the treasury management strategy for 2020/21 was that Bank Rate would continue at the start of the year at 0.75% before rising to end 2022/23 at 1.25%.  This forecast was invalidated by the</w:t>
      </w:r>
      <w:r>
        <w:rPr>
          <w:szCs w:val="24"/>
        </w:rPr>
        <w:t xml:space="preserve"> impact of the</w:t>
      </w:r>
      <w:r w:rsidRPr="003C54FD">
        <w:rPr>
          <w:szCs w:val="24"/>
        </w:rPr>
        <w:t xml:space="preserve"> Covid-19 pandemic which caused the Monetary Policy Committee to cut</w:t>
      </w:r>
      <w:r>
        <w:rPr>
          <w:szCs w:val="24"/>
        </w:rPr>
        <w:t xml:space="preserve"> the </w:t>
      </w:r>
      <w:r w:rsidR="00C320DB">
        <w:rPr>
          <w:szCs w:val="24"/>
        </w:rPr>
        <w:t>Bank of England Base</w:t>
      </w:r>
      <w:r w:rsidRPr="003C54FD">
        <w:rPr>
          <w:szCs w:val="24"/>
        </w:rPr>
        <w:t xml:space="preserve"> Rate in March</w:t>
      </w:r>
      <w:r w:rsidR="00C320DB">
        <w:rPr>
          <w:szCs w:val="24"/>
        </w:rPr>
        <w:t xml:space="preserve"> 2020</w:t>
      </w:r>
      <w:r w:rsidRPr="003C54FD">
        <w:rPr>
          <w:szCs w:val="24"/>
        </w:rPr>
        <w:t>, first to 0.25% and then to 0.10%, in order to counter the hugely negative impact of the national lockdown on large swathes of the economy.  The Bank of England and the Government also introduced new programmes of supplying the banking system and the economy with massive amounts of cheap credit so that banks could help cash-starved businesses to survive the lockdown.</w:t>
      </w:r>
      <w:r w:rsidRPr="003C54FD">
        <w:rPr>
          <w:rFonts w:ascii="Calibri" w:hAnsi="Calibri" w:cs="Arial"/>
          <w:color w:val="0D0D0D" w:themeColor="text1" w:themeTint="F2"/>
          <w:sz w:val="22"/>
          <w:szCs w:val="22"/>
        </w:rPr>
        <w:t xml:space="preserve"> </w:t>
      </w:r>
    </w:p>
    <w:p w14:paraId="2C5E4887" w14:textId="77777777" w:rsidR="00C320DB" w:rsidRPr="00C320DB" w:rsidRDefault="00C320DB" w:rsidP="00C320DB">
      <w:pPr>
        <w:pStyle w:val="ListParagraph"/>
        <w:rPr>
          <w:rFonts w:ascii="Calibri" w:hAnsi="Calibri" w:cs="Arial"/>
          <w:color w:val="0D0D0D" w:themeColor="text1" w:themeTint="F2"/>
          <w:sz w:val="22"/>
          <w:szCs w:val="22"/>
        </w:rPr>
      </w:pPr>
    </w:p>
    <w:p w14:paraId="11DF503E" w14:textId="04C1E6DC" w:rsidR="003C54FD" w:rsidRDefault="003C54FD" w:rsidP="00A332A5">
      <w:pPr>
        <w:pStyle w:val="ListParagraph"/>
        <w:numPr>
          <w:ilvl w:val="0"/>
          <w:numId w:val="24"/>
        </w:numPr>
        <w:ind w:left="567" w:hanging="567"/>
        <w:jc w:val="both"/>
        <w:rPr>
          <w:szCs w:val="24"/>
        </w:rPr>
      </w:pPr>
      <w:r w:rsidRPr="00C320DB">
        <w:rPr>
          <w:szCs w:val="24"/>
        </w:rPr>
        <w:t xml:space="preserve">The Government also supplied huge amounts of finance to local authorities to pass on to businesses.  This meant that for most of the year there was much more liquidity in financial markets than there was </w:t>
      </w:r>
      <w:proofErr w:type="gramStart"/>
      <w:r w:rsidRPr="00C320DB">
        <w:rPr>
          <w:szCs w:val="24"/>
        </w:rPr>
        <w:t>demand</w:t>
      </w:r>
      <w:proofErr w:type="gramEnd"/>
      <w:r w:rsidRPr="00C320DB">
        <w:rPr>
          <w:szCs w:val="24"/>
        </w:rPr>
        <w:t xml:space="preserve"> to borrow, with the consequent effect that investment earnings rates plummeted. </w:t>
      </w:r>
    </w:p>
    <w:p w14:paraId="1DC233B5" w14:textId="77777777" w:rsidR="00C320DB" w:rsidRPr="00C320DB" w:rsidRDefault="00C320DB" w:rsidP="00C320DB">
      <w:pPr>
        <w:jc w:val="both"/>
        <w:rPr>
          <w:szCs w:val="24"/>
        </w:rPr>
      </w:pPr>
    </w:p>
    <w:p w14:paraId="4D183CAE" w14:textId="496E0ADE" w:rsidR="003C54FD" w:rsidRPr="00C320DB" w:rsidRDefault="00C320DB" w:rsidP="00A332A5">
      <w:pPr>
        <w:pStyle w:val="ListParagraph"/>
        <w:numPr>
          <w:ilvl w:val="0"/>
          <w:numId w:val="24"/>
        </w:numPr>
        <w:ind w:left="567" w:hanging="567"/>
        <w:jc w:val="both"/>
        <w:rPr>
          <w:szCs w:val="24"/>
        </w:rPr>
      </w:pPr>
      <w:r>
        <w:rPr>
          <w:szCs w:val="24"/>
        </w:rPr>
        <w:t>The Authority’s</w:t>
      </w:r>
      <w:r w:rsidR="003E367E">
        <w:rPr>
          <w:szCs w:val="24"/>
        </w:rPr>
        <w:t xml:space="preserve"> continuing</w:t>
      </w:r>
      <w:r>
        <w:rPr>
          <w:szCs w:val="24"/>
        </w:rPr>
        <w:t xml:space="preserve"> internal borrowing strategy means that i</w:t>
      </w:r>
      <w:r w:rsidR="003C54FD" w:rsidRPr="00C320DB">
        <w:rPr>
          <w:szCs w:val="24"/>
        </w:rPr>
        <w:t>nvestmen</w:t>
      </w:r>
      <w:r>
        <w:rPr>
          <w:szCs w:val="24"/>
        </w:rPr>
        <w:t>ts are kept liquid, with balances</w:t>
      </w:r>
      <w:r w:rsidR="003C54FD" w:rsidRPr="00C320DB">
        <w:rPr>
          <w:szCs w:val="24"/>
        </w:rPr>
        <w:t xml:space="preserve"> </w:t>
      </w:r>
      <w:r>
        <w:rPr>
          <w:szCs w:val="24"/>
        </w:rPr>
        <w:t>expected to be minimised</w:t>
      </w:r>
      <w:r w:rsidR="003C54FD" w:rsidRPr="00C320DB">
        <w:rPr>
          <w:szCs w:val="24"/>
        </w:rPr>
        <w:t xml:space="preserve"> </w:t>
      </w:r>
      <w:proofErr w:type="gramStart"/>
      <w:r w:rsidR="003C54FD" w:rsidRPr="00C320DB">
        <w:rPr>
          <w:szCs w:val="24"/>
        </w:rPr>
        <w:t xml:space="preserve">through the </w:t>
      </w:r>
      <w:r>
        <w:rPr>
          <w:szCs w:val="24"/>
        </w:rPr>
        <w:t>use of</w:t>
      </w:r>
      <w:proofErr w:type="gramEnd"/>
      <w:r w:rsidR="003C54FD" w:rsidRPr="00C320DB">
        <w:rPr>
          <w:szCs w:val="24"/>
        </w:rPr>
        <w:t xml:space="preserve"> reserves and balances to support internal borrowing, rather than borrowing externally from the financial markets. External borrowing would have incurred an additional</w:t>
      </w:r>
      <w:r w:rsidR="003E367E">
        <w:rPr>
          <w:szCs w:val="24"/>
        </w:rPr>
        <w:t xml:space="preserve"> revenue</w:t>
      </w:r>
      <w:r w:rsidR="003C54FD" w:rsidRPr="00C320DB">
        <w:rPr>
          <w:szCs w:val="24"/>
        </w:rPr>
        <w:t xml:space="preserve"> cost, due to the differential between borrowing and investment rates. Such an approach has also provided benefits in terms of reducing the counterparty risk exposure, by having fewer investments placed in the financial markets</w:t>
      </w:r>
      <w:r>
        <w:rPr>
          <w:szCs w:val="24"/>
        </w:rPr>
        <w:t xml:space="preserve"> </w:t>
      </w:r>
      <w:r w:rsidRPr="00A86F66">
        <w:rPr>
          <w:rFonts w:cs="Arial"/>
          <w:color w:val="0D0D0D" w:themeColor="text1" w:themeTint="F2"/>
          <w:szCs w:val="24"/>
        </w:rPr>
        <w:t>than would be the case if the Authority had borrowed up to its CFR.</w:t>
      </w:r>
      <w:r w:rsidR="003C54FD" w:rsidRPr="00C320DB">
        <w:rPr>
          <w:szCs w:val="24"/>
        </w:rPr>
        <w:t xml:space="preserve"> </w:t>
      </w:r>
    </w:p>
    <w:p w14:paraId="4C5C0291" w14:textId="77777777" w:rsidR="00A86F66" w:rsidRPr="00A86F66" w:rsidRDefault="00A86F66" w:rsidP="00A86F66">
      <w:pPr>
        <w:pStyle w:val="ListParagraph"/>
        <w:rPr>
          <w:rFonts w:cs="Arial"/>
          <w:color w:val="0D0D0D" w:themeColor="text1" w:themeTint="F2"/>
          <w:szCs w:val="24"/>
          <w:u w:val="single"/>
        </w:rPr>
      </w:pPr>
    </w:p>
    <w:p w14:paraId="621CAA2F" w14:textId="77777777" w:rsidR="00A86F66" w:rsidRPr="00A86F66" w:rsidRDefault="00A86F66" w:rsidP="00A332A5">
      <w:pPr>
        <w:pStyle w:val="ListParagraph"/>
        <w:spacing w:after="120"/>
        <w:ind w:left="567"/>
        <w:jc w:val="both"/>
        <w:rPr>
          <w:rFonts w:cs="Arial"/>
          <w:color w:val="0D0D0D" w:themeColor="text1" w:themeTint="F2"/>
          <w:szCs w:val="24"/>
        </w:rPr>
      </w:pPr>
      <w:r w:rsidRPr="00A86F66">
        <w:rPr>
          <w:rFonts w:cs="Arial"/>
          <w:color w:val="0D0D0D" w:themeColor="text1" w:themeTint="F2"/>
          <w:szCs w:val="24"/>
          <w:u w:val="single"/>
        </w:rPr>
        <w:t>Borrowing strategy and control of interest rate risk</w:t>
      </w:r>
    </w:p>
    <w:p w14:paraId="373222DC" w14:textId="5F199D1F" w:rsidR="00A86F66" w:rsidRDefault="00A86F66" w:rsidP="00A332A5">
      <w:pPr>
        <w:pStyle w:val="ListParagraph"/>
        <w:numPr>
          <w:ilvl w:val="0"/>
          <w:numId w:val="24"/>
        </w:numPr>
        <w:ind w:left="567" w:hanging="567"/>
        <w:jc w:val="both"/>
        <w:rPr>
          <w:szCs w:val="24"/>
        </w:rPr>
      </w:pPr>
      <w:r w:rsidRPr="00A86F66">
        <w:rPr>
          <w:rFonts w:cs="Arial"/>
          <w:color w:val="0D0D0D" w:themeColor="text1" w:themeTint="F2"/>
          <w:szCs w:val="24"/>
        </w:rPr>
        <w:t xml:space="preserve">During </w:t>
      </w:r>
      <w:r w:rsidR="00C320DB">
        <w:rPr>
          <w:rFonts w:cs="Arial"/>
          <w:color w:val="0D0D0D" w:themeColor="text1" w:themeTint="F2"/>
          <w:szCs w:val="24"/>
        </w:rPr>
        <w:t>2020/21</w:t>
      </w:r>
      <w:r w:rsidRPr="00A86F66">
        <w:rPr>
          <w:rFonts w:cs="Arial"/>
          <w:color w:val="0D0D0D" w:themeColor="text1" w:themeTint="F2"/>
          <w:szCs w:val="24"/>
        </w:rPr>
        <w:t xml:space="preserve"> the Council maintained an internal borrowing position</w:t>
      </w:r>
      <w:r w:rsidR="00AB630A">
        <w:rPr>
          <w:rFonts w:cs="Arial"/>
          <w:color w:val="0D0D0D" w:themeColor="text1" w:themeTint="F2"/>
          <w:szCs w:val="24"/>
        </w:rPr>
        <w:t xml:space="preserve"> and no new external borrowing was taken during the year</w:t>
      </w:r>
      <w:r w:rsidRPr="00A86F66">
        <w:rPr>
          <w:rFonts w:cs="Arial"/>
          <w:color w:val="0D0D0D" w:themeColor="text1" w:themeTint="F2"/>
          <w:szCs w:val="24"/>
        </w:rPr>
        <w:t>.</w:t>
      </w:r>
      <w:r w:rsidR="00EA40A9">
        <w:rPr>
          <w:rFonts w:cs="Arial"/>
          <w:color w:val="0D0D0D" w:themeColor="text1" w:themeTint="F2"/>
          <w:szCs w:val="24"/>
        </w:rPr>
        <w:t xml:space="preserve"> </w:t>
      </w:r>
      <w:r w:rsidR="00C320DB">
        <w:rPr>
          <w:rFonts w:cs="Arial"/>
          <w:color w:val="0D0D0D" w:themeColor="text1" w:themeTint="F2"/>
          <w:szCs w:val="24"/>
        </w:rPr>
        <w:t xml:space="preserve">The Covid-19 </w:t>
      </w:r>
      <w:r w:rsidR="00AB630A">
        <w:rPr>
          <w:rFonts w:cs="Arial"/>
          <w:color w:val="0D0D0D" w:themeColor="text1" w:themeTint="F2"/>
          <w:szCs w:val="24"/>
        </w:rPr>
        <w:t>p</w:t>
      </w:r>
      <w:r w:rsidR="00C320DB">
        <w:rPr>
          <w:rFonts w:cs="Arial"/>
          <w:color w:val="0D0D0D" w:themeColor="text1" w:themeTint="F2"/>
          <w:szCs w:val="24"/>
        </w:rPr>
        <w:t xml:space="preserve">andemic impacted on the delivery of the Authority’s capital programme, and the expected movement in </w:t>
      </w:r>
      <w:r w:rsidR="00AB630A">
        <w:rPr>
          <w:rFonts w:cs="Arial"/>
          <w:color w:val="0D0D0D" w:themeColor="text1" w:themeTint="F2"/>
          <w:szCs w:val="24"/>
        </w:rPr>
        <w:t>the measure of its borrowing requirement, the CFR</w:t>
      </w:r>
      <w:r w:rsidR="00C320DB">
        <w:rPr>
          <w:rFonts w:cs="Arial"/>
          <w:color w:val="0D0D0D" w:themeColor="text1" w:themeTint="F2"/>
          <w:szCs w:val="24"/>
        </w:rPr>
        <w:t xml:space="preserve">.  The CFR increased by a relatively small £11m during </w:t>
      </w:r>
      <w:r w:rsidR="00C320DB" w:rsidRPr="00AB630A">
        <w:rPr>
          <w:szCs w:val="24"/>
        </w:rPr>
        <w:t>2020/21, which</w:t>
      </w:r>
      <w:r w:rsidR="003E367E">
        <w:rPr>
          <w:szCs w:val="24"/>
        </w:rPr>
        <w:t xml:space="preserve"> with a reduction in other </w:t>
      </w:r>
      <w:proofErr w:type="gramStart"/>
      <w:r w:rsidR="003E367E">
        <w:rPr>
          <w:szCs w:val="24"/>
        </w:rPr>
        <w:t>long term</w:t>
      </w:r>
      <w:proofErr w:type="gramEnd"/>
      <w:r w:rsidR="003E367E">
        <w:rPr>
          <w:szCs w:val="24"/>
        </w:rPr>
        <w:t xml:space="preserve"> liabilities</w:t>
      </w:r>
      <w:r w:rsidR="00C320DB" w:rsidRPr="00AB630A">
        <w:rPr>
          <w:szCs w:val="24"/>
        </w:rPr>
        <w:t xml:space="preserve"> collectively resulted in the internal borrowing position of the Authority increasing from £</w:t>
      </w:r>
      <w:r w:rsidR="00AB630A" w:rsidRPr="00AB630A">
        <w:rPr>
          <w:szCs w:val="24"/>
        </w:rPr>
        <w:t>121m to £133m</w:t>
      </w:r>
      <w:r w:rsidR="000F048D">
        <w:rPr>
          <w:szCs w:val="24"/>
        </w:rPr>
        <w:t xml:space="preserve">.  This additional borrowing requirement was met through increasing the internal borrowing </w:t>
      </w:r>
      <w:r w:rsidR="000279A2">
        <w:rPr>
          <w:szCs w:val="24"/>
        </w:rPr>
        <w:t>position</w:t>
      </w:r>
      <w:r w:rsidR="000F048D">
        <w:rPr>
          <w:szCs w:val="24"/>
        </w:rPr>
        <w:t xml:space="preserve"> through the temporary use of </w:t>
      </w:r>
      <w:r w:rsidR="003E367E">
        <w:rPr>
          <w:szCs w:val="24"/>
        </w:rPr>
        <w:t>resources available on the balance sheet rather than through additional external borrowing</w:t>
      </w:r>
      <w:r w:rsidR="00AB630A" w:rsidRPr="00AB630A">
        <w:rPr>
          <w:szCs w:val="24"/>
        </w:rPr>
        <w:t>.</w:t>
      </w:r>
    </w:p>
    <w:p w14:paraId="5F80B517" w14:textId="77777777" w:rsidR="00AB630A" w:rsidRPr="00AB630A" w:rsidRDefault="00AB630A" w:rsidP="00AB630A">
      <w:pPr>
        <w:pStyle w:val="ListParagraph"/>
        <w:ind w:left="426"/>
        <w:jc w:val="both"/>
        <w:rPr>
          <w:szCs w:val="24"/>
        </w:rPr>
      </w:pPr>
    </w:p>
    <w:p w14:paraId="3CE951FD" w14:textId="67B02445" w:rsidR="00A86F66" w:rsidRDefault="00A86F66" w:rsidP="00A332A5">
      <w:pPr>
        <w:pStyle w:val="ListParagraph"/>
        <w:numPr>
          <w:ilvl w:val="0"/>
          <w:numId w:val="24"/>
        </w:numPr>
        <w:ind w:left="567" w:hanging="567"/>
        <w:jc w:val="both"/>
        <w:rPr>
          <w:szCs w:val="24"/>
        </w:rPr>
      </w:pPr>
      <w:r w:rsidRPr="00AB630A">
        <w:rPr>
          <w:szCs w:val="24"/>
        </w:rPr>
        <w:t xml:space="preserve">This means that the capital borrowing need, (the Capital Financing Requirement), was not fully funded with loan debt, as cash supporting the Council’s reserves, balances and cash flow </w:t>
      </w:r>
      <w:r w:rsidR="00AB630A" w:rsidRPr="00AB630A">
        <w:rPr>
          <w:szCs w:val="24"/>
        </w:rPr>
        <w:t>has continued to be</w:t>
      </w:r>
      <w:r w:rsidRPr="00AB630A">
        <w:rPr>
          <w:szCs w:val="24"/>
        </w:rPr>
        <w:t xml:space="preserve"> used as an interim measure. </w:t>
      </w:r>
    </w:p>
    <w:p w14:paraId="6B6C6100" w14:textId="77777777" w:rsidR="00AB630A" w:rsidRPr="00AB630A" w:rsidRDefault="00AB630A" w:rsidP="00AB630A">
      <w:pPr>
        <w:jc w:val="both"/>
        <w:rPr>
          <w:szCs w:val="24"/>
        </w:rPr>
      </w:pPr>
    </w:p>
    <w:p w14:paraId="29B59428" w14:textId="26C6A2EA" w:rsidR="00A86F66" w:rsidRPr="00AB630A" w:rsidRDefault="00A86F66" w:rsidP="00A332A5">
      <w:pPr>
        <w:pStyle w:val="ListParagraph"/>
        <w:numPr>
          <w:ilvl w:val="0"/>
          <w:numId w:val="24"/>
        </w:numPr>
        <w:ind w:left="567" w:hanging="567"/>
        <w:jc w:val="both"/>
        <w:rPr>
          <w:szCs w:val="24"/>
        </w:rPr>
      </w:pPr>
      <w:r w:rsidRPr="00A86F66">
        <w:rPr>
          <w:rFonts w:cs="Arial"/>
          <w:color w:val="0D0D0D" w:themeColor="text1" w:themeTint="F2"/>
          <w:szCs w:val="24"/>
        </w:rPr>
        <w:t xml:space="preserve">The policy of avoiding new borrowing by running down spare cash balances, has served well over the last few years.  However, this has been kept under review to avoid incurring higher borrowing costs in the future when the Authority may not be able to avoid new borrowing to finance capital expenditure and/or the refinancing of maturing debt.  </w:t>
      </w:r>
      <w:r w:rsidR="003E367E">
        <w:rPr>
          <w:rFonts w:cs="Arial"/>
          <w:color w:val="0D0D0D" w:themeColor="text1" w:themeTint="F2"/>
          <w:szCs w:val="24"/>
        </w:rPr>
        <w:t>Ne</w:t>
      </w:r>
      <w:r w:rsidRPr="00AB630A">
        <w:rPr>
          <w:rFonts w:cs="Arial"/>
          <w:color w:val="0D0D0D" w:themeColor="text1" w:themeTint="F2"/>
          <w:szCs w:val="24"/>
        </w:rPr>
        <w:t>w</w:t>
      </w:r>
      <w:r w:rsidR="003E367E">
        <w:rPr>
          <w:rFonts w:cs="Arial"/>
          <w:color w:val="0D0D0D" w:themeColor="text1" w:themeTint="F2"/>
          <w:szCs w:val="24"/>
        </w:rPr>
        <w:t xml:space="preserve"> long term</w:t>
      </w:r>
      <w:r w:rsidRPr="00AB630A">
        <w:rPr>
          <w:rFonts w:cs="Arial"/>
          <w:color w:val="0D0D0D" w:themeColor="text1" w:themeTint="F2"/>
          <w:szCs w:val="24"/>
        </w:rPr>
        <w:t xml:space="preserve"> borrowing decisions taken</w:t>
      </w:r>
      <w:r w:rsidR="003E367E">
        <w:rPr>
          <w:rFonts w:cs="Arial"/>
          <w:color w:val="0D0D0D" w:themeColor="text1" w:themeTint="F2"/>
          <w:szCs w:val="24"/>
        </w:rPr>
        <w:t xml:space="preserve"> in 2019/20</w:t>
      </w:r>
      <w:r w:rsidR="00AB630A" w:rsidRPr="00AB630A">
        <w:rPr>
          <w:rFonts w:cs="Arial"/>
          <w:color w:val="0D0D0D" w:themeColor="text1" w:themeTint="F2"/>
          <w:szCs w:val="24"/>
        </w:rPr>
        <w:t xml:space="preserve"> with respect to an additional £100m of PWLB and £20m of market loans</w:t>
      </w:r>
      <w:r w:rsidRPr="00AB630A">
        <w:rPr>
          <w:rFonts w:cs="Arial"/>
          <w:color w:val="0D0D0D" w:themeColor="text1" w:themeTint="F2"/>
          <w:szCs w:val="24"/>
        </w:rPr>
        <w:t xml:space="preserve"> were made within this context </w:t>
      </w:r>
      <w:r w:rsidRPr="00AB630A">
        <w:rPr>
          <w:szCs w:val="24"/>
        </w:rPr>
        <w:t>given the relatively low levels of investments in place as at 31st March 2019 and the anticipated increase in the CFR required to fund the</w:t>
      </w:r>
      <w:r w:rsidR="00AB630A" w:rsidRPr="00AB630A">
        <w:rPr>
          <w:szCs w:val="24"/>
        </w:rPr>
        <w:t xml:space="preserve"> future</w:t>
      </w:r>
      <w:r w:rsidRPr="00AB630A">
        <w:rPr>
          <w:szCs w:val="24"/>
        </w:rPr>
        <w:t xml:space="preserve"> capital programme</w:t>
      </w:r>
      <w:r w:rsidR="000F048D">
        <w:rPr>
          <w:szCs w:val="24"/>
        </w:rPr>
        <w:t xml:space="preserve"> at that time</w:t>
      </w:r>
      <w:r w:rsidRPr="00AB630A">
        <w:rPr>
          <w:szCs w:val="24"/>
        </w:rPr>
        <w:t>.</w:t>
      </w:r>
    </w:p>
    <w:p w14:paraId="6718AC74" w14:textId="77777777" w:rsidR="00AB630A" w:rsidRPr="00AB630A" w:rsidRDefault="00AB630A" w:rsidP="00AB630A">
      <w:pPr>
        <w:pStyle w:val="ListParagraph"/>
        <w:ind w:left="426"/>
        <w:jc w:val="both"/>
        <w:rPr>
          <w:szCs w:val="24"/>
        </w:rPr>
      </w:pPr>
    </w:p>
    <w:p w14:paraId="2734B808" w14:textId="042AC4F5" w:rsidR="00A86F66" w:rsidRDefault="00A86F66" w:rsidP="00A332A5">
      <w:pPr>
        <w:pStyle w:val="ListParagraph"/>
        <w:numPr>
          <w:ilvl w:val="0"/>
          <w:numId w:val="24"/>
        </w:numPr>
        <w:ind w:left="567" w:hanging="567"/>
        <w:jc w:val="both"/>
        <w:rPr>
          <w:rFonts w:cs="Arial"/>
          <w:color w:val="0D0D0D" w:themeColor="text1" w:themeTint="F2"/>
          <w:szCs w:val="24"/>
        </w:rPr>
      </w:pPr>
      <w:r w:rsidRPr="00AB630A">
        <w:rPr>
          <w:szCs w:val="24"/>
        </w:rPr>
        <w:t xml:space="preserve">Interest rate forecasts expected only gradual rises in </w:t>
      </w:r>
      <w:proofErr w:type="gramStart"/>
      <w:r w:rsidRPr="00AB630A">
        <w:rPr>
          <w:szCs w:val="24"/>
        </w:rPr>
        <w:t>medium and longer term</w:t>
      </w:r>
      <w:proofErr w:type="gramEnd"/>
      <w:r w:rsidRPr="00AB630A">
        <w:rPr>
          <w:szCs w:val="24"/>
        </w:rPr>
        <w:t xml:space="preserve"> fixed borrowing rates during </w:t>
      </w:r>
      <w:r w:rsidR="00AB630A" w:rsidRPr="00AB630A">
        <w:rPr>
          <w:szCs w:val="24"/>
        </w:rPr>
        <w:t>2020/21</w:t>
      </w:r>
      <w:r w:rsidRPr="00AB630A">
        <w:rPr>
          <w:szCs w:val="24"/>
        </w:rPr>
        <w:t xml:space="preserve"> and the two subsequent financial years.  The impact of the</w:t>
      </w:r>
      <w:r w:rsidR="00AB630A">
        <w:rPr>
          <w:rFonts w:cs="Arial"/>
          <w:color w:val="0D0D0D" w:themeColor="text1" w:themeTint="F2"/>
          <w:szCs w:val="24"/>
        </w:rPr>
        <w:t xml:space="preserve"> Covid-19</w:t>
      </w:r>
      <w:r w:rsidRPr="00A86F66">
        <w:rPr>
          <w:rFonts w:cs="Arial"/>
          <w:color w:val="0D0D0D" w:themeColor="text1" w:themeTint="F2"/>
          <w:szCs w:val="24"/>
        </w:rPr>
        <w:t xml:space="preserve"> pandemic resulted in lower interest rate expectations throughout 2020/21.  </w:t>
      </w:r>
      <w:r w:rsidRPr="00A332A5">
        <w:rPr>
          <w:rFonts w:cs="Arial"/>
          <w:color w:val="0D0D0D" w:themeColor="text1" w:themeTint="F2"/>
          <w:szCs w:val="24"/>
        </w:rPr>
        <w:t xml:space="preserve">Link </w:t>
      </w:r>
      <w:r w:rsidR="00C57F30" w:rsidRPr="00A332A5">
        <w:rPr>
          <w:rFonts w:cs="Arial"/>
          <w:color w:val="0D0D0D" w:themeColor="text1" w:themeTint="F2"/>
          <w:szCs w:val="24"/>
        </w:rPr>
        <w:t>Group’s e</w:t>
      </w:r>
      <w:r w:rsidRPr="00A332A5">
        <w:rPr>
          <w:rFonts w:cs="Arial"/>
          <w:color w:val="0D0D0D" w:themeColor="text1" w:themeTint="F2"/>
          <w:szCs w:val="24"/>
        </w:rPr>
        <w:t xml:space="preserve">conomic </w:t>
      </w:r>
      <w:r w:rsidR="00C57F30" w:rsidRPr="00A332A5">
        <w:rPr>
          <w:rFonts w:cs="Arial"/>
          <w:color w:val="0D0D0D" w:themeColor="text1" w:themeTint="F2"/>
          <w:szCs w:val="24"/>
        </w:rPr>
        <w:t xml:space="preserve">review of 2020/21 </w:t>
      </w:r>
      <w:r w:rsidRPr="00A332A5">
        <w:rPr>
          <w:rFonts w:cs="Arial"/>
          <w:color w:val="0D0D0D" w:themeColor="text1" w:themeTint="F2"/>
          <w:szCs w:val="24"/>
        </w:rPr>
        <w:t>and</w:t>
      </w:r>
      <w:r w:rsidR="00C57F30" w:rsidRPr="00A332A5">
        <w:rPr>
          <w:rFonts w:cs="Arial"/>
          <w:color w:val="0D0D0D" w:themeColor="text1" w:themeTint="F2"/>
          <w:szCs w:val="24"/>
        </w:rPr>
        <w:t xml:space="preserve"> their associated</w:t>
      </w:r>
      <w:r w:rsidRPr="00A332A5">
        <w:rPr>
          <w:rFonts w:cs="Arial"/>
          <w:color w:val="0D0D0D" w:themeColor="text1" w:themeTint="F2"/>
          <w:szCs w:val="24"/>
        </w:rPr>
        <w:t xml:space="preserve"> interest rate forecast</w:t>
      </w:r>
      <w:r w:rsidR="003E367E" w:rsidRPr="00A332A5">
        <w:rPr>
          <w:rFonts w:cs="Arial"/>
          <w:color w:val="0D0D0D" w:themeColor="text1" w:themeTint="F2"/>
          <w:szCs w:val="24"/>
        </w:rPr>
        <w:t>s</w:t>
      </w:r>
      <w:r w:rsidR="000F048D">
        <w:rPr>
          <w:rFonts w:cs="Arial"/>
          <w:color w:val="0D0D0D" w:themeColor="text1" w:themeTint="F2"/>
          <w:szCs w:val="24"/>
        </w:rPr>
        <w:t xml:space="preserve"> at the start and close of the year</w:t>
      </w:r>
      <w:r w:rsidRPr="00A332A5">
        <w:rPr>
          <w:rFonts w:cs="Arial"/>
          <w:color w:val="0D0D0D" w:themeColor="text1" w:themeTint="F2"/>
          <w:szCs w:val="24"/>
        </w:rPr>
        <w:t xml:space="preserve"> </w:t>
      </w:r>
      <w:r w:rsidR="003E367E" w:rsidRPr="00A332A5">
        <w:rPr>
          <w:rFonts w:cs="Arial"/>
          <w:color w:val="0D0D0D" w:themeColor="text1" w:themeTint="F2"/>
          <w:szCs w:val="24"/>
        </w:rPr>
        <w:t>are</w:t>
      </w:r>
      <w:r w:rsidRPr="00A332A5">
        <w:rPr>
          <w:rFonts w:cs="Arial"/>
          <w:color w:val="0D0D0D" w:themeColor="text1" w:themeTint="F2"/>
          <w:szCs w:val="24"/>
        </w:rPr>
        <w:t xml:space="preserve"> contained in Appendix 1.</w:t>
      </w:r>
    </w:p>
    <w:p w14:paraId="4E07B246" w14:textId="77777777" w:rsidR="00A731F5" w:rsidRPr="00A731F5" w:rsidRDefault="00A731F5" w:rsidP="00A731F5">
      <w:pPr>
        <w:pStyle w:val="ListParagraph"/>
        <w:rPr>
          <w:rFonts w:cs="Arial"/>
          <w:color w:val="0D0D0D" w:themeColor="text1" w:themeTint="F2"/>
          <w:szCs w:val="24"/>
        </w:rPr>
      </w:pPr>
    </w:p>
    <w:p w14:paraId="7D18AF45" w14:textId="77777777" w:rsidR="00A731F5" w:rsidRPr="00A731F5" w:rsidRDefault="00A731F5" w:rsidP="00A332A5">
      <w:pPr>
        <w:ind w:firstLine="567"/>
        <w:jc w:val="both"/>
        <w:rPr>
          <w:rFonts w:eastAsia="Bliss 2 Regular" w:cs="Arial"/>
          <w:color w:val="0D0D0D"/>
          <w:u w:val="single"/>
        </w:rPr>
      </w:pPr>
      <w:r w:rsidRPr="00A731F5">
        <w:rPr>
          <w:rFonts w:eastAsia="Bliss 2 Regular" w:cs="Arial"/>
          <w:color w:val="0D0D0D"/>
          <w:u w:val="single"/>
        </w:rPr>
        <w:t>PWLB Consultation</w:t>
      </w:r>
    </w:p>
    <w:p w14:paraId="3708EEEA" w14:textId="77D29988" w:rsidR="00A731F5" w:rsidRPr="00A731F5" w:rsidRDefault="00A731F5" w:rsidP="00A332A5">
      <w:pPr>
        <w:pStyle w:val="ListParagraph"/>
        <w:numPr>
          <w:ilvl w:val="0"/>
          <w:numId w:val="24"/>
        </w:numPr>
        <w:ind w:left="567" w:hanging="567"/>
        <w:jc w:val="both"/>
        <w:rPr>
          <w:szCs w:val="24"/>
        </w:rPr>
      </w:pPr>
      <w:r w:rsidRPr="00A731F5">
        <w:rPr>
          <w:szCs w:val="24"/>
        </w:rPr>
        <w:t>In response to concerns about commercial activity being undertaken by local authorities supported through borrowing from the PWLB HM Treasury increase</w:t>
      </w:r>
      <w:r w:rsidR="000F048D">
        <w:rPr>
          <w:szCs w:val="24"/>
        </w:rPr>
        <w:t>d</w:t>
      </w:r>
      <w:r w:rsidRPr="00A731F5">
        <w:rPr>
          <w:szCs w:val="24"/>
        </w:rPr>
        <w:t xml:space="preserve"> the margin over the Gilt applied to all PWLB borrowing on the 9th October 2019 from 0.8% to 1.8% above the Gilt.</w:t>
      </w:r>
    </w:p>
    <w:p w14:paraId="6CC262CB" w14:textId="77777777" w:rsidR="00A731F5" w:rsidRPr="00A731F5" w:rsidRDefault="00A731F5" w:rsidP="00A731F5">
      <w:pPr>
        <w:pStyle w:val="ListParagraph"/>
        <w:ind w:left="426"/>
        <w:jc w:val="both"/>
        <w:rPr>
          <w:szCs w:val="24"/>
        </w:rPr>
      </w:pPr>
    </w:p>
    <w:p w14:paraId="1599F2E3" w14:textId="3574AF87" w:rsidR="00A731F5" w:rsidRPr="00A731F5" w:rsidRDefault="00A731F5" w:rsidP="00C57F30">
      <w:pPr>
        <w:pStyle w:val="ListParagraph"/>
        <w:numPr>
          <w:ilvl w:val="0"/>
          <w:numId w:val="24"/>
        </w:numPr>
        <w:ind w:left="567" w:hanging="567"/>
        <w:jc w:val="both"/>
        <w:rPr>
          <w:szCs w:val="24"/>
        </w:rPr>
      </w:pPr>
      <w:r w:rsidRPr="00A731F5">
        <w:rPr>
          <w:szCs w:val="24"/>
        </w:rPr>
        <w:t xml:space="preserve">In March 2020 HM Treasury reversed this for HRA borrowing (with reference to the HRA CFR) and announced a consultation on the future lending terms of the PWLB.  The Governments response to the consultation was published in November 2020, and reversed the additional 1% margin imposed on General Fund borrowing subject to local authority’s confirming that they have no purely commercial activity within their three year capital programme, which will come from data submissions of the capital programme accompanied by an assurance from the s151 officer.  Subject to </w:t>
      </w:r>
      <w:proofErr w:type="gramStart"/>
      <w:r w:rsidRPr="00A731F5">
        <w:rPr>
          <w:szCs w:val="24"/>
        </w:rPr>
        <w:t>this criteria</w:t>
      </w:r>
      <w:proofErr w:type="gramEnd"/>
      <w:r w:rsidRPr="00A731F5">
        <w:rPr>
          <w:szCs w:val="24"/>
        </w:rPr>
        <w:t xml:space="preserve"> being met borrowing for both the General Fund and HRA is now back at a margin of 80bps above the Gilt.</w:t>
      </w:r>
    </w:p>
    <w:p w14:paraId="1DF869D2" w14:textId="77777777" w:rsidR="00A86F66" w:rsidRPr="00340394" w:rsidRDefault="00A86F66" w:rsidP="003634DA">
      <w:pPr>
        <w:jc w:val="both"/>
        <w:rPr>
          <w:szCs w:val="24"/>
        </w:rPr>
      </w:pPr>
    </w:p>
    <w:p w14:paraId="3FB84BF0" w14:textId="77777777" w:rsidR="00B1160D" w:rsidRPr="00340394" w:rsidRDefault="00B1160D" w:rsidP="00AF66F2">
      <w:pPr>
        <w:jc w:val="both"/>
        <w:rPr>
          <w:szCs w:val="24"/>
        </w:rPr>
      </w:pPr>
    </w:p>
    <w:p w14:paraId="45FE986E" w14:textId="40542A84" w:rsidR="00A81E19" w:rsidRPr="008A1A78" w:rsidRDefault="00A81E19" w:rsidP="00F0073B">
      <w:pPr>
        <w:pStyle w:val="Heading2"/>
        <w:numPr>
          <w:ilvl w:val="0"/>
          <w:numId w:val="26"/>
        </w:numPr>
        <w:tabs>
          <w:tab w:val="left" w:pos="567"/>
        </w:tabs>
        <w:ind w:left="426" w:hanging="426"/>
        <w:jc w:val="both"/>
        <w:rPr>
          <w:sz w:val="24"/>
          <w:szCs w:val="24"/>
        </w:rPr>
      </w:pPr>
      <w:r w:rsidRPr="008A1A78">
        <w:rPr>
          <w:sz w:val="24"/>
          <w:szCs w:val="24"/>
        </w:rPr>
        <w:t>Risk Management Implications</w:t>
      </w:r>
    </w:p>
    <w:p w14:paraId="532AA002" w14:textId="77777777" w:rsidR="00A81E19" w:rsidRPr="008A1A78" w:rsidRDefault="00A81E19" w:rsidP="00AF66F2">
      <w:pPr>
        <w:pStyle w:val="Heading4"/>
        <w:jc w:val="both"/>
        <w:rPr>
          <w:b w:val="0"/>
          <w:szCs w:val="24"/>
        </w:rPr>
      </w:pPr>
    </w:p>
    <w:p w14:paraId="413B70D0" w14:textId="15E37106" w:rsidR="00D01D88" w:rsidRDefault="00D01D88" w:rsidP="00507F19">
      <w:pPr>
        <w:ind w:left="720" w:hanging="720"/>
        <w:rPr>
          <w:rFonts w:ascii="Calibri" w:hAnsi="Calibri"/>
          <w:sz w:val="22"/>
        </w:rPr>
      </w:pPr>
      <w:r>
        <w:t>10.1</w:t>
      </w:r>
      <w:r>
        <w:tab/>
        <w:t>This report is for noting and Cabinet are not being asked to make any decisions hence there are no direct risk management implications to this report.’</w:t>
      </w:r>
    </w:p>
    <w:p w14:paraId="2063C13E" w14:textId="77777777" w:rsidR="00D01D88" w:rsidRDefault="00D01D88" w:rsidP="00D01D88"/>
    <w:p w14:paraId="0AE9056F" w14:textId="53465CB3" w:rsidR="009C523F" w:rsidRPr="008A1A78" w:rsidRDefault="009C523F" w:rsidP="00731669">
      <w:pPr>
        <w:ind w:left="567"/>
        <w:jc w:val="both"/>
        <w:rPr>
          <w:color w:val="FF0000"/>
          <w:szCs w:val="24"/>
          <w:lang w:val="en-US"/>
        </w:rPr>
      </w:pPr>
    </w:p>
    <w:p w14:paraId="3A64D6CD" w14:textId="7C488251" w:rsidR="002A3FEF" w:rsidRPr="008A1A78" w:rsidRDefault="002A3FEF" w:rsidP="00F0073B">
      <w:pPr>
        <w:pStyle w:val="Heading2"/>
        <w:numPr>
          <w:ilvl w:val="0"/>
          <w:numId w:val="27"/>
        </w:numPr>
        <w:tabs>
          <w:tab w:val="left" w:pos="567"/>
        </w:tabs>
        <w:ind w:left="426" w:hanging="426"/>
        <w:jc w:val="both"/>
        <w:rPr>
          <w:sz w:val="24"/>
          <w:szCs w:val="24"/>
        </w:rPr>
      </w:pPr>
      <w:r w:rsidRPr="008A1A78">
        <w:rPr>
          <w:sz w:val="24"/>
          <w:szCs w:val="24"/>
        </w:rPr>
        <w:t xml:space="preserve">Procurement Implications </w:t>
      </w:r>
    </w:p>
    <w:p w14:paraId="49913689" w14:textId="77777777" w:rsidR="005641E0" w:rsidRPr="00A86F66" w:rsidRDefault="005641E0" w:rsidP="00731669">
      <w:pPr>
        <w:tabs>
          <w:tab w:val="left" w:pos="567"/>
        </w:tabs>
        <w:jc w:val="both"/>
        <w:rPr>
          <w:szCs w:val="24"/>
          <w:highlight w:val="yellow"/>
        </w:rPr>
      </w:pPr>
    </w:p>
    <w:p w14:paraId="62E60B38" w14:textId="77777777" w:rsidR="002A3FEF" w:rsidRPr="008A1A78" w:rsidRDefault="004C0103" w:rsidP="00731669">
      <w:pPr>
        <w:tabs>
          <w:tab w:val="left" w:pos="567"/>
        </w:tabs>
        <w:ind w:left="567"/>
        <w:jc w:val="both"/>
        <w:rPr>
          <w:szCs w:val="24"/>
        </w:rPr>
      </w:pPr>
      <w:r w:rsidRPr="008A1A78">
        <w:rPr>
          <w:szCs w:val="24"/>
        </w:rPr>
        <w:t>There are no procurement implication arising from this report</w:t>
      </w:r>
    </w:p>
    <w:p w14:paraId="2E49614D" w14:textId="77777777" w:rsidR="002A3FEF" w:rsidRPr="008A1A78" w:rsidRDefault="002A3FEF" w:rsidP="00AF66F2">
      <w:pPr>
        <w:pStyle w:val="Heading2"/>
        <w:jc w:val="both"/>
        <w:rPr>
          <w:sz w:val="24"/>
          <w:szCs w:val="24"/>
        </w:rPr>
      </w:pPr>
    </w:p>
    <w:p w14:paraId="50268769" w14:textId="0804F58C" w:rsidR="00333FAA" w:rsidRPr="008A1A78" w:rsidRDefault="00333FAA" w:rsidP="00F0073B">
      <w:pPr>
        <w:pStyle w:val="Heading2"/>
        <w:numPr>
          <w:ilvl w:val="0"/>
          <w:numId w:val="29"/>
        </w:numPr>
        <w:tabs>
          <w:tab w:val="left" w:pos="567"/>
        </w:tabs>
        <w:ind w:left="426" w:hanging="426"/>
        <w:jc w:val="both"/>
        <w:rPr>
          <w:sz w:val="24"/>
          <w:szCs w:val="24"/>
        </w:rPr>
      </w:pPr>
      <w:r w:rsidRPr="008A1A78">
        <w:rPr>
          <w:sz w:val="24"/>
          <w:szCs w:val="24"/>
        </w:rPr>
        <w:t>Legal Implications</w:t>
      </w:r>
    </w:p>
    <w:p w14:paraId="414CA36C" w14:textId="34263C7A" w:rsidR="00176056" w:rsidRPr="008A1A78" w:rsidRDefault="00176056" w:rsidP="00176056"/>
    <w:p w14:paraId="7125A913" w14:textId="358D88F0" w:rsidR="005641E0" w:rsidRPr="008A1A78" w:rsidRDefault="00D01D88" w:rsidP="00A94722">
      <w:pPr>
        <w:ind w:left="720" w:hanging="720"/>
        <w:jc w:val="both"/>
        <w:rPr>
          <w:szCs w:val="24"/>
        </w:rPr>
      </w:pPr>
      <w:r>
        <w:rPr>
          <w:rFonts w:ascii="ArialMT" w:hAnsi="ArialMT" w:cs="ArialMT"/>
          <w:szCs w:val="24"/>
          <w:lang w:eastAsia="en-GB"/>
        </w:rPr>
        <w:t>12.1</w:t>
      </w:r>
      <w:r>
        <w:rPr>
          <w:rFonts w:ascii="ArialMT" w:hAnsi="ArialMT" w:cs="ArialMT"/>
          <w:szCs w:val="24"/>
          <w:lang w:eastAsia="en-GB"/>
        </w:rPr>
        <w:tab/>
      </w:r>
      <w:r w:rsidR="00176056" w:rsidRPr="006878EF">
        <w:rPr>
          <w:rFonts w:ascii="ArialMT" w:hAnsi="ArialMT" w:cs="ArialMT"/>
          <w:szCs w:val="24"/>
          <w:lang w:eastAsia="en-GB"/>
        </w:rPr>
        <w:t xml:space="preserve">The Local Government Act 2003 requires the Council to ‘have regard to’ the </w:t>
      </w:r>
      <w:r w:rsidR="00176056" w:rsidRPr="00A35A5E">
        <w:rPr>
          <w:rFonts w:cs="Arial"/>
          <w:szCs w:val="24"/>
          <w:lang w:eastAsia="en-GB"/>
        </w:rPr>
        <w:t xml:space="preserve">Prudential Code and to set Prudential Indicators for the next three years to </w:t>
      </w:r>
      <w:r w:rsidR="00176056" w:rsidRPr="00A35A5E">
        <w:rPr>
          <w:rFonts w:ascii="ArialMT" w:hAnsi="ArialMT" w:cs="ArialMT"/>
          <w:szCs w:val="24"/>
          <w:lang w:eastAsia="en-GB"/>
        </w:rPr>
        <w:t xml:space="preserve">ensure </w:t>
      </w:r>
      <w:r w:rsidR="00176056" w:rsidRPr="00A35A5E">
        <w:rPr>
          <w:rFonts w:ascii="ArialMT" w:hAnsi="ArialMT" w:cs="ArialMT"/>
          <w:szCs w:val="24"/>
          <w:lang w:eastAsia="en-GB"/>
        </w:rPr>
        <w:lastRenderedPageBreak/>
        <w:t xml:space="preserve">that the Council’s capital investment plans are affordable, prudent and </w:t>
      </w:r>
      <w:r w:rsidR="00176056" w:rsidRPr="008A1A78">
        <w:rPr>
          <w:rFonts w:cs="Arial"/>
          <w:szCs w:val="24"/>
          <w:lang w:eastAsia="en-GB"/>
        </w:rPr>
        <w:t xml:space="preserve">sustainable. These are contained within this report.  The Act requires the Council to set out its treasury strategy for borrowing </w:t>
      </w:r>
      <w:r w:rsidR="00176056" w:rsidRPr="008A1A78">
        <w:rPr>
          <w:rFonts w:ascii="ArialMT" w:hAnsi="ArialMT" w:cs="ArialMT"/>
          <w:szCs w:val="24"/>
          <w:lang w:eastAsia="en-GB"/>
        </w:rPr>
        <w:t xml:space="preserve">and to prepare an Annual Investment Strategy. This sets out the Council’s </w:t>
      </w:r>
      <w:r w:rsidR="00176056" w:rsidRPr="008A1A78">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01F2AAEE" w14:textId="77777777" w:rsidR="005641E0" w:rsidRPr="008A1A78" w:rsidRDefault="005641E0" w:rsidP="00731669">
      <w:pPr>
        <w:ind w:left="567"/>
        <w:jc w:val="both"/>
        <w:rPr>
          <w:b/>
          <w:szCs w:val="24"/>
        </w:rPr>
      </w:pPr>
    </w:p>
    <w:p w14:paraId="1222B777" w14:textId="426F1AAE" w:rsidR="0054590F" w:rsidRDefault="00333FAA" w:rsidP="00F0073B">
      <w:pPr>
        <w:pStyle w:val="Heading2"/>
        <w:numPr>
          <w:ilvl w:val="0"/>
          <w:numId w:val="31"/>
        </w:numPr>
        <w:tabs>
          <w:tab w:val="left" w:pos="567"/>
        </w:tabs>
        <w:ind w:left="426" w:hanging="426"/>
        <w:jc w:val="both"/>
        <w:rPr>
          <w:sz w:val="24"/>
          <w:szCs w:val="24"/>
        </w:rPr>
      </w:pPr>
      <w:r w:rsidRPr="008A1A78">
        <w:rPr>
          <w:sz w:val="24"/>
          <w:szCs w:val="24"/>
        </w:rPr>
        <w:t>Financial Implications</w:t>
      </w:r>
    </w:p>
    <w:p w14:paraId="3B5F668B" w14:textId="77777777" w:rsidR="00D01D88" w:rsidRPr="008711C4" w:rsidRDefault="00D01D88" w:rsidP="00507F19"/>
    <w:p w14:paraId="58E51DB5" w14:textId="7958FA2B" w:rsidR="0054590F" w:rsidRPr="008A1A78" w:rsidRDefault="00D01D88" w:rsidP="00731669">
      <w:pPr>
        <w:tabs>
          <w:tab w:val="left" w:pos="709"/>
        </w:tabs>
        <w:ind w:left="567" w:hanging="567"/>
        <w:jc w:val="both"/>
        <w:rPr>
          <w:szCs w:val="24"/>
        </w:rPr>
      </w:pPr>
      <w:r>
        <w:rPr>
          <w:szCs w:val="24"/>
        </w:rPr>
        <w:t>13.1</w:t>
      </w:r>
      <w:r>
        <w:rPr>
          <w:szCs w:val="24"/>
        </w:rPr>
        <w:tab/>
      </w:r>
      <w:r w:rsidR="00176056" w:rsidRPr="006878EF">
        <w:t>In addition to supporting the Council’s revenue and capital programmes the Treasury Management interest budget  is an important part of the revenue budget. Any savings achieved, or overspends incurred, have a direct impact on the financial performance of the budget</w:t>
      </w:r>
    </w:p>
    <w:p w14:paraId="68B17B8C" w14:textId="77777777" w:rsidR="001C7E35" w:rsidRPr="008A1A78" w:rsidRDefault="001C7E35" w:rsidP="00AF66F2">
      <w:pPr>
        <w:pStyle w:val="Heading2"/>
        <w:jc w:val="both"/>
        <w:rPr>
          <w:sz w:val="24"/>
          <w:szCs w:val="24"/>
        </w:rPr>
      </w:pPr>
    </w:p>
    <w:p w14:paraId="7BDD9F0B" w14:textId="55EDBA76" w:rsidR="00333FAA" w:rsidRDefault="00333FAA" w:rsidP="00DA2286">
      <w:pPr>
        <w:pStyle w:val="Heading2"/>
        <w:numPr>
          <w:ilvl w:val="0"/>
          <w:numId w:val="33"/>
        </w:numPr>
        <w:tabs>
          <w:tab w:val="left" w:pos="567"/>
        </w:tabs>
        <w:ind w:hanging="720"/>
        <w:jc w:val="both"/>
        <w:rPr>
          <w:sz w:val="24"/>
          <w:szCs w:val="24"/>
        </w:rPr>
      </w:pPr>
      <w:r w:rsidRPr="008A1A78">
        <w:rPr>
          <w:sz w:val="24"/>
          <w:szCs w:val="24"/>
        </w:rPr>
        <w:t>Equalities implications</w:t>
      </w:r>
      <w:r w:rsidR="001C7E35" w:rsidRPr="008A1A78">
        <w:rPr>
          <w:sz w:val="24"/>
          <w:szCs w:val="24"/>
        </w:rPr>
        <w:t xml:space="preserve"> </w:t>
      </w:r>
      <w:r w:rsidRPr="008A1A78">
        <w:rPr>
          <w:sz w:val="24"/>
          <w:szCs w:val="24"/>
        </w:rPr>
        <w:t>/</w:t>
      </w:r>
      <w:r w:rsidR="001C7E35" w:rsidRPr="008A1A78">
        <w:rPr>
          <w:sz w:val="24"/>
          <w:szCs w:val="24"/>
        </w:rPr>
        <w:t xml:space="preserve"> </w:t>
      </w:r>
      <w:r w:rsidRPr="008A1A78">
        <w:rPr>
          <w:sz w:val="24"/>
          <w:szCs w:val="24"/>
        </w:rPr>
        <w:t>Public Sector Equality Duty</w:t>
      </w:r>
    </w:p>
    <w:p w14:paraId="1C172426" w14:textId="77777777" w:rsidR="00D01D88" w:rsidRPr="008711C4" w:rsidRDefault="00D01D88" w:rsidP="00507F19"/>
    <w:p w14:paraId="6F2E1C32" w14:textId="108AF3C3" w:rsidR="00990FE6" w:rsidRPr="008A1A78" w:rsidRDefault="00D01D88" w:rsidP="00507F19">
      <w:pPr>
        <w:ind w:left="720" w:hanging="720"/>
      </w:pPr>
      <w:r>
        <w:t>14.1</w:t>
      </w:r>
      <w:r>
        <w:tab/>
      </w:r>
      <w:r w:rsidR="00176056" w:rsidRPr="006878EF">
        <w:t>T</w:t>
      </w:r>
      <w:r w:rsidR="00176056" w:rsidRPr="006878EF">
        <w:rPr>
          <w:rFonts w:cs="Arial"/>
          <w:szCs w:val="24"/>
        </w:rPr>
        <w:t xml:space="preserve">here </w:t>
      </w:r>
      <w:r>
        <w:rPr>
          <w:rFonts w:cs="Arial"/>
          <w:szCs w:val="24"/>
        </w:rPr>
        <w:t>are</w:t>
      </w:r>
      <w:r w:rsidR="00176056" w:rsidRPr="006878EF">
        <w:rPr>
          <w:rFonts w:cs="Arial"/>
          <w:szCs w:val="24"/>
        </w:rPr>
        <w:t xml:space="preserve"> no direct equalities impact.</w:t>
      </w:r>
      <w:r w:rsidR="008A1A78">
        <w:rPr>
          <w:rFonts w:cs="Arial"/>
          <w:szCs w:val="24"/>
        </w:rPr>
        <w:t xml:space="preserve"> Compliance with s.149 of the Equality Act is integral to all aspects decision-making.</w:t>
      </w:r>
    </w:p>
    <w:p w14:paraId="1CEE1596" w14:textId="77777777" w:rsidR="007647E7" w:rsidRPr="008A1A78" w:rsidRDefault="007647E7" w:rsidP="00AF66F2">
      <w:pPr>
        <w:ind w:left="709"/>
        <w:jc w:val="both"/>
        <w:rPr>
          <w:szCs w:val="24"/>
        </w:rPr>
      </w:pPr>
    </w:p>
    <w:p w14:paraId="077E6F5B" w14:textId="3ED29322" w:rsidR="00333FAA" w:rsidRDefault="00333FAA" w:rsidP="00DA2286">
      <w:pPr>
        <w:pStyle w:val="Heading2"/>
        <w:numPr>
          <w:ilvl w:val="0"/>
          <w:numId w:val="35"/>
        </w:numPr>
        <w:tabs>
          <w:tab w:val="left" w:pos="567"/>
        </w:tabs>
        <w:ind w:hanging="720"/>
        <w:jc w:val="both"/>
        <w:rPr>
          <w:sz w:val="24"/>
          <w:szCs w:val="24"/>
        </w:rPr>
      </w:pPr>
      <w:r w:rsidRPr="008A1A78">
        <w:rPr>
          <w:sz w:val="24"/>
          <w:szCs w:val="24"/>
        </w:rPr>
        <w:t>Council Priorities</w:t>
      </w:r>
    </w:p>
    <w:p w14:paraId="2F634436" w14:textId="77777777" w:rsidR="00D01D88" w:rsidRPr="008711C4" w:rsidRDefault="00D01D88" w:rsidP="00507F19"/>
    <w:p w14:paraId="7DA79BD9" w14:textId="04FF0A5E" w:rsidR="006878EF" w:rsidRPr="008A1A78" w:rsidRDefault="00D01D88" w:rsidP="00A94722">
      <w:pPr>
        <w:ind w:left="720" w:hanging="720"/>
        <w:jc w:val="both"/>
      </w:pPr>
      <w:r>
        <w:rPr>
          <w:rFonts w:cs="Arial"/>
          <w:szCs w:val="24"/>
        </w:rPr>
        <w:t>15.1</w:t>
      </w:r>
      <w:r>
        <w:rPr>
          <w:rFonts w:cs="Arial"/>
          <w:szCs w:val="24"/>
        </w:rPr>
        <w:tab/>
      </w:r>
      <w:r w:rsidR="006878EF" w:rsidRPr="006878EF">
        <w:rPr>
          <w:rFonts w:cs="Arial"/>
          <w:szCs w:val="24"/>
        </w:rPr>
        <w:t>T</w:t>
      </w:r>
      <w:r w:rsidR="006878EF" w:rsidRPr="00A35A5E">
        <w:rPr>
          <w:rFonts w:cs="Arial"/>
          <w:szCs w:val="24"/>
        </w:rPr>
        <w:t xml:space="preserve">his report deals with the </w:t>
      </w:r>
      <w:r w:rsidR="006878EF" w:rsidRPr="00A35A5E">
        <w:rPr>
          <w:rFonts w:cs="Arial"/>
        </w:rPr>
        <w:t xml:space="preserve">Treasury Management Strategy </w:t>
      </w:r>
      <w:r w:rsidR="006878EF" w:rsidRPr="008A1A78">
        <w:rPr>
          <w:rFonts w:cs="Arial"/>
          <w:szCs w:val="24"/>
        </w:rPr>
        <w:t>which plays a significant part in supporting the delivery of all the Council’s corporate priorities.</w:t>
      </w:r>
    </w:p>
    <w:p w14:paraId="188298C1" w14:textId="77777777" w:rsidR="00333FAA" w:rsidRPr="008A1A78" w:rsidRDefault="00333FAA" w:rsidP="00333FAA">
      <w:pPr>
        <w:rPr>
          <w:szCs w:val="24"/>
        </w:rPr>
      </w:pPr>
    </w:p>
    <w:p w14:paraId="3C91FDA7" w14:textId="77777777" w:rsidR="00307F76" w:rsidRPr="008A1A78" w:rsidRDefault="00307F76" w:rsidP="00307F76">
      <w:pPr>
        <w:rPr>
          <w:rFonts w:cs="Arial"/>
        </w:rPr>
      </w:pPr>
    </w:p>
    <w:p w14:paraId="47BCC815" w14:textId="77777777" w:rsidR="00333FAA" w:rsidRPr="008A1A78" w:rsidRDefault="00333FAA" w:rsidP="00333FAA">
      <w:pPr>
        <w:pStyle w:val="Heading1"/>
        <w:keepNext/>
      </w:pPr>
      <w:r w:rsidRPr="008A1A78">
        <w:t>Section 3 - Statutory Officer Clearance</w:t>
      </w:r>
    </w:p>
    <w:p w14:paraId="20A5B16A" w14:textId="77777777" w:rsidR="00E37F2D" w:rsidRDefault="00E37F2D" w:rsidP="00166B73">
      <w:pPr>
        <w:rPr>
          <w:b/>
          <w:sz w:val="28"/>
        </w:rPr>
      </w:pPr>
    </w:p>
    <w:p w14:paraId="408922F9" w14:textId="70059157" w:rsidR="00166B73" w:rsidRPr="008A1A78" w:rsidRDefault="00166B73" w:rsidP="00166B73">
      <w:pPr>
        <w:rPr>
          <w:sz w:val="28"/>
        </w:rPr>
      </w:pPr>
      <w:r w:rsidRPr="008A1A78">
        <w:rPr>
          <w:b/>
          <w:sz w:val="28"/>
        </w:rPr>
        <w:t>Statutory Officer:  Dawn Calvert</w:t>
      </w:r>
    </w:p>
    <w:p w14:paraId="680F7289" w14:textId="3BB843E1" w:rsidR="00166B73" w:rsidRPr="008A1A78" w:rsidRDefault="00166B73" w:rsidP="00166B73">
      <w:r w:rsidRPr="008A1A78">
        <w:t>Signed by the Chief Financial Officer</w:t>
      </w:r>
    </w:p>
    <w:p w14:paraId="18338076" w14:textId="77777777" w:rsidR="00166B73" w:rsidRPr="008A1A78" w:rsidRDefault="00166B73" w:rsidP="00166B73">
      <w:pPr>
        <w:rPr>
          <w:sz w:val="28"/>
        </w:rPr>
      </w:pPr>
    </w:p>
    <w:p w14:paraId="0AD3F108" w14:textId="05545C95" w:rsidR="00166B73" w:rsidRPr="008A1A78" w:rsidRDefault="00166B73" w:rsidP="00166B73">
      <w:pPr>
        <w:spacing w:after="480"/>
        <w:rPr>
          <w:sz w:val="28"/>
        </w:rPr>
      </w:pPr>
      <w:r w:rsidRPr="008A1A78">
        <w:rPr>
          <w:b/>
          <w:sz w:val="28"/>
        </w:rPr>
        <w:t xml:space="preserve">Date:  </w:t>
      </w:r>
      <w:r w:rsidR="008A1A78">
        <w:rPr>
          <w:b/>
          <w:sz w:val="28"/>
        </w:rPr>
        <w:t>5</w:t>
      </w:r>
      <w:r w:rsidR="008A1A78" w:rsidRPr="008A1A78">
        <w:rPr>
          <w:b/>
          <w:sz w:val="28"/>
          <w:vertAlign w:val="superscript"/>
        </w:rPr>
        <w:t>th</w:t>
      </w:r>
      <w:r w:rsidR="008A1A78">
        <w:rPr>
          <w:b/>
          <w:sz w:val="28"/>
        </w:rPr>
        <w:t xml:space="preserve"> July 2021</w:t>
      </w:r>
    </w:p>
    <w:p w14:paraId="7FD2824A" w14:textId="5066067D" w:rsidR="00166B73" w:rsidRPr="008A1A78" w:rsidRDefault="00166B73" w:rsidP="00166B73">
      <w:pPr>
        <w:rPr>
          <w:sz w:val="28"/>
        </w:rPr>
      </w:pPr>
      <w:r w:rsidRPr="008A1A78">
        <w:rPr>
          <w:b/>
          <w:sz w:val="28"/>
        </w:rPr>
        <w:t xml:space="preserve">Statutory Officer: </w:t>
      </w:r>
      <w:r w:rsidR="008A1A78">
        <w:rPr>
          <w:b/>
          <w:sz w:val="28"/>
        </w:rPr>
        <w:t>Rashmi Chopra</w:t>
      </w:r>
    </w:p>
    <w:p w14:paraId="49DD4E8A" w14:textId="482D912F" w:rsidR="00166B73" w:rsidRPr="008A1A78" w:rsidRDefault="00166B73" w:rsidP="00166B73">
      <w:r w:rsidRPr="008A1A78">
        <w:t>Signed on behalf of the Monitoring Officer</w:t>
      </w:r>
    </w:p>
    <w:p w14:paraId="018944BD" w14:textId="77777777" w:rsidR="00166B73" w:rsidRPr="008A1A78" w:rsidRDefault="00166B73" w:rsidP="00166B73">
      <w:pPr>
        <w:rPr>
          <w:sz w:val="28"/>
        </w:rPr>
      </w:pPr>
    </w:p>
    <w:p w14:paraId="0A1EC408" w14:textId="753C50D3" w:rsidR="00166B73" w:rsidRPr="008A1A78" w:rsidRDefault="00166B73" w:rsidP="00166B73">
      <w:pPr>
        <w:spacing w:after="480"/>
        <w:rPr>
          <w:sz w:val="28"/>
        </w:rPr>
      </w:pPr>
      <w:r w:rsidRPr="008A1A78">
        <w:rPr>
          <w:b/>
          <w:sz w:val="28"/>
        </w:rPr>
        <w:t xml:space="preserve">Date:  </w:t>
      </w:r>
      <w:r w:rsidR="008A1A78">
        <w:rPr>
          <w:b/>
          <w:sz w:val="28"/>
        </w:rPr>
        <w:t>5</w:t>
      </w:r>
      <w:r w:rsidR="008A1A78" w:rsidRPr="008A1A78">
        <w:rPr>
          <w:b/>
          <w:sz w:val="28"/>
          <w:vertAlign w:val="superscript"/>
        </w:rPr>
        <w:t>th</w:t>
      </w:r>
      <w:r w:rsidR="008A1A78">
        <w:rPr>
          <w:b/>
          <w:sz w:val="28"/>
        </w:rPr>
        <w:t xml:space="preserve"> July 2021</w:t>
      </w:r>
    </w:p>
    <w:p w14:paraId="59531151" w14:textId="653D2C53" w:rsidR="00166B73" w:rsidRPr="008A1A78" w:rsidRDefault="00166B73" w:rsidP="00166B73">
      <w:pPr>
        <w:rPr>
          <w:sz w:val="28"/>
        </w:rPr>
      </w:pPr>
      <w:r w:rsidRPr="008A1A78">
        <w:rPr>
          <w:b/>
          <w:sz w:val="28"/>
        </w:rPr>
        <w:t>Chief Officer:  Charlie Stewart</w:t>
      </w:r>
    </w:p>
    <w:p w14:paraId="62CC2E6C" w14:textId="1314F221" w:rsidR="00166B73" w:rsidRPr="008A1A78" w:rsidRDefault="00166B73" w:rsidP="00166B73">
      <w:r w:rsidRPr="008A1A78">
        <w:t xml:space="preserve">Signed off by the Corporate </w:t>
      </w:r>
      <w:r w:rsidR="004325F9" w:rsidRPr="008A1A78">
        <w:t>Director</w:t>
      </w:r>
    </w:p>
    <w:p w14:paraId="2FAA8836" w14:textId="77777777" w:rsidR="00166B73" w:rsidRPr="008A1A78" w:rsidRDefault="00166B73" w:rsidP="00166B73">
      <w:pPr>
        <w:rPr>
          <w:sz w:val="28"/>
        </w:rPr>
      </w:pPr>
    </w:p>
    <w:p w14:paraId="7242AC38" w14:textId="7B7CAD02" w:rsidR="00507F19" w:rsidRDefault="00166B73" w:rsidP="00E37F2D">
      <w:pPr>
        <w:spacing w:after="480"/>
        <w:rPr>
          <w:b/>
          <w:sz w:val="28"/>
        </w:rPr>
      </w:pPr>
      <w:r w:rsidRPr="008A1A78">
        <w:rPr>
          <w:b/>
          <w:sz w:val="28"/>
        </w:rPr>
        <w:t xml:space="preserve">Date:  </w:t>
      </w:r>
      <w:r w:rsidR="00D01D88">
        <w:rPr>
          <w:b/>
          <w:sz w:val="28"/>
        </w:rPr>
        <w:t>5</w:t>
      </w:r>
      <w:r w:rsidR="00D01D88" w:rsidRPr="00507F19">
        <w:rPr>
          <w:b/>
          <w:sz w:val="28"/>
          <w:vertAlign w:val="superscript"/>
        </w:rPr>
        <w:t>th</w:t>
      </w:r>
      <w:r w:rsidR="00D01D88">
        <w:rPr>
          <w:b/>
          <w:sz w:val="28"/>
        </w:rPr>
        <w:t xml:space="preserve"> July 2021</w:t>
      </w:r>
    </w:p>
    <w:p w14:paraId="6A09054B" w14:textId="757A5CAF" w:rsidR="00166B73" w:rsidRPr="008A1A78" w:rsidRDefault="00166B73" w:rsidP="00166B73">
      <w:pPr>
        <w:rPr>
          <w:sz w:val="28"/>
        </w:rPr>
      </w:pPr>
      <w:r w:rsidRPr="008A1A78">
        <w:rPr>
          <w:b/>
          <w:sz w:val="28"/>
        </w:rPr>
        <w:t>Head of Procurement:  Nimesh Mehta</w:t>
      </w:r>
    </w:p>
    <w:p w14:paraId="771CF306" w14:textId="30F0399B" w:rsidR="00166B73" w:rsidRPr="008A1A78" w:rsidRDefault="00166B73" w:rsidP="00166B73">
      <w:r w:rsidRPr="008A1A78">
        <w:t>Signed by the Head of Procurement</w:t>
      </w:r>
    </w:p>
    <w:p w14:paraId="2D71682F" w14:textId="77777777" w:rsidR="00166B73" w:rsidRPr="008A1A78" w:rsidRDefault="00166B73" w:rsidP="00166B73">
      <w:pPr>
        <w:rPr>
          <w:sz w:val="28"/>
        </w:rPr>
      </w:pPr>
    </w:p>
    <w:p w14:paraId="72B6B1A2" w14:textId="12D81F01" w:rsidR="00166B73" w:rsidRPr="008A1A78" w:rsidRDefault="00166B73" w:rsidP="00166B73">
      <w:pPr>
        <w:spacing w:after="480"/>
        <w:rPr>
          <w:sz w:val="28"/>
        </w:rPr>
      </w:pPr>
      <w:r w:rsidRPr="008A1A78">
        <w:rPr>
          <w:b/>
          <w:sz w:val="28"/>
        </w:rPr>
        <w:t xml:space="preserve">Date:  </w:t>
      </w:r>
      <w:r w:rsidR="008A1A78">
        <w:rPr>
          <w:b/>
          <w:sz w:val="28"/>
        </w:rPr>
        <w:t>5</w:t>
      </w:r>
      <w:r w:rsidR="008A1A78" w:rsidRPr="008A1A78">
        <w:rPr>
          <w:b/>
          <w:sz w:val="28"/>
          <w:vertAlign w:val="superscript"/>
        </w:rPr>
        <w:t>th</w:t>
      </w:r>
      <w:r w:rsidR="008A1A78">
        <w:rPr>
          <w:b/>
          <w:sz w:val="28"/>
        </w:rPr>
        <w:t xml:space="preserve"> July 2021</w:t>
      </w:r>
    </w:p>
    <w:p w14:paraId="65C97688" w14:textId="56C846E9" w:rsidR="00166B73" w:rsidRPr="008A1A78" w:rsidRDefault="00166B73" w:rsidP="00166B73">
      <w:pPr>
        <w:rPr>
          <w:sz w:val="28"/>
        </w:rPr>
      </w:pPr>
      <w:r w:rsidRPr="008A1A78">
        <w:rPr>
          <w:b/>
          <w:sz w:val="28"/>
        </w:rPr>
        <w:lastRenderedPageBreak/>
        <w:t>Head of Internal Audit:  Susan Dixson</w:t>
      </w:r>
    </w:p>
    <w:p w14:paraId="7CD521C9" w14:textId="5E615B33" w:rsidR="00166B73" w:rsidRPr="008A1A78" w:rsidRDefault="00166B73" w:rsidP="00166B73">
      <w:r w:rsidRPr="008A1A78">
        <w:t>Signed by the Head of Internal Audit</w:t>
      </w:r>
    </w:p>
    <w:p w14:paraId="592509E0" w14:textId="77777777" w:rsidR="00166B73" w:rsidRPr="008A1A78" w:rsidRDefault="00166B73" w:rsidP="00166B73">
      <w:pPr>
        <w:rPr>
          <w:sz w:val="28"/>
        </w:rPr>
      </w:pPr>
    </w:p>
    <w:p w14:paraId="7CF8A8F1" w14:textId="505FCB2F" w:rsidR="00166B73" w:rsidRPr="008A1A78" w:rsidRDefault="00166B73" w:rsidP="00166B73">
      <w:pPr>
        <w:pStyle w:val="Heading2"/>
        <w:spacing w:after="240"/>
      </w:pPr>
      <w:r w:rsidRPr="008A1A78">
        <w:t>Date:</w:t>
      </w:r>
      <w:r w:rsidR="00800A69" w:rsidRPr="008A1A78">
        <w:t xml:space="preserve"> </w:t>
      </w:r>
      <w:r w:rsidR="008A1A78">
        <w:t>5</w:t>
      </w:r>
      <w:r w:rsidR="008A1A78" w:rsidRPr="008A1A78">
        <w:rPr>
          <w:vertAlign w:val="superscript"/>
        </w:rPr>
        <w:t>th</w:t>
      </w:r>
      <w:r w:rsidR="008A1A78">
        <w:t xml:space="preserve"> July 2021</w:t>
      </w:r>
    </w:p>
    <w:p w14:paraId="34A45030" w14:textId="77777777" w:rsidR="00166B73" w:rsidRPr="008A1A78" w:rsidRDefault="00166B73" w:rsidP="00166B73">
      <w:pPr>
        <w:pStyle w:val="Heading2"/>
        <w:spacing w:before="480" w:after="240"/>
      </w:pPr>
      <w:r w:rsidRPr="008A1A78">
        <w:t>Mandatory Checks</w:t>
      </w:r>
    </w:p>
    <w:p w14:paraId="1EA50314" w14:textId="7724211E" w:rsidR="00166B73" w:rsidRPr="00E37F2D" w:rsidRDefault="00166B73" w:rsidP="00166B73">
      <w:pPr>
        <w:pStyle w:val="Heading3"/>
        <w:ind w:left="0" w:firstLine="0"/>
        <w:jc w:val="left"/>
        <w:rPr>
          <w:i w:val="0"/>
          <w:iCs/>
        </w:rPr>
      </w:pPr>
      <w:r w:rsidRPr="00E37F2D">
        <w:rPr>
          <w:i w:val="0"/>
          <w:iCs/>
        </w:rPr>
        <w:t xml:space="preserve">Ward Councillors notified:   NO as it impacts on all Wards </w:t>
      </w:r>
    </w:p>
    <w:p w14:paraId="64BBC7EF" w14:textId="383513E3" w:rsidR="00166B73" w:rsidRPr="00E37F2D" w:rsidRDefault="00166B73" w:rsidP="00166B73">
      <w:pPr>
        <w:pStyle w:val="Heading3"/>
        <w:spacing w:before="240"/>
        <w:rPr>
          <w:b w:val="0"/>
          <w:i w:val="0"/>
          <w:iCs/>
        </w:rPr>
      </w:pPr>
      <w:proofErr w:type="spellStart"/>
      <w:r w:rsidRPr="00E37F2D">
        <w:rPr>
          <w:i w:val="0"/>
          <w:iCs/>
        </w:rPr>
        <w:t>EqIA</w:t>
      </w:r>
      <w:proofErr w:type="spellEnd"/>
      <w:r w:rsidRPr="00E37F2D">
        <w:rPr>
          <w:i w:val="0"/>
          <w:iCs/>
        </w:rPr>
        <w:t xml:space="preserve"> carried out:  NO</w:t>
      </w:r>
    </w:p>
    <w:p w14:paraId="6B92AC5A" w14:textId="77777777" w:rsidR="00166B73" w:rsidRPr="00E37F2D" w:rsidRDefault="00166B73" w:rsidP="00166B73">
      <w:pPr>
        <w:pStyle w:val="Infotext"/>
        <w:rPr>
          <w:iCs/>
        </w:rPr>
      </w:pPr>
    </w:p>
    <w:p w14:paraId="3948B068" w14:textId="77777777" w:rsidR="00166B73" w:rsidRPr="008A1A78" w:rsidRDefault="00166B73" w:rsidP="00333FAA"/>
    <w:p w14:paraId="0608363E" w14:textId="77777777" w:rsidR="00333FAA" w:rsidRPr="008A1A78" w:rsidRDefault="00333FAA" w:rsidP="00333FAA">
      <w:pPr>
        <w:pStyle w:val="Heading1"/>
        <w:keepNext/>
      </w:pPr>
      <w:r w:rsidRPr="008A1A78">
        <w:t xml:space="preserve">Section </w:t>
      </w:r>
      <w:r w:rsidR="00A20113" w:rsidRPr="008A1A78">
        <w:t>4</w:t>
      </w:r>
      <w:r w:rsidRPr="008A1A78">
        <w:t xml:space="preserve"> - Contact Details and Background Papers</w:t>
      </w:r>
    </w:p>
    <w:p w14:paraId="04159197" w14:textId="77777777" w:rsidR="00333FAA" w:rsidRPr="008A1A78" w:rsidRDefault="00333FAA" w:rsidP="00333FAA">
      <w:pPr>
        <w:keepNext/>
        <w:rPr>
          <w:rFonts w:cs="Arial"/>
        </w:rPr>
      </w:pPr>
    </w:p>
    <w:p w14:paraId="4A7EEFA6" w14:textId="77777777" w:rsidR="00333FAA" w:rsidRPr="008A1A78" w:rsidRDefault="00333FAA" w:rsidP="00333FAA">
      <w:pPr>
        <w:keepNext/>
        <w:rPr>
          <w:rFonts w:cs="Arial"/>
        </w:rPr>
      </w:pPr>
    </w:p>
    <w:p w14:paraId="02BC8A13" w14:textId="5E83C885" w:rsidR="00CA2FF3" w:rsidRPr="008A1A78" w:rsidRDefault="00333FAA" w:rsidP="00CA2FF3">
      <w:pPr>
        <w:pStyle w:val="Infotext"/>
        <w:rPr>
          <w:b/>
        </w:rPr>
      </w:pPr>
      <w:r w:rsidRPr="008A1A78">
        <w:rPr>
          <w:b/>
        </w:rPr>
        <w:t xml:space="preserve">Contact:  </w:t>
      </w:r>
      <w:r w:rsidR="00CA2FF3" w:rsidRPr="008A1A78">
        <w:rPr>
          <w:b/>
        </w:rPr>
        <w:t xml:space="preserve">Sharon </w:t>
      </w:r>
      <w:r w:rsidR="005C7899" w:rsidRPr="008A1A78">
        <w:rPr>
          <w:b/>
        </w:rPr>
        <w:t>Daniels, Head</w:t>
      </w:r>
      <w:r w:rsidR="00CA2FF3" w:rsidRPr="008A1A78">
        <w:rPr>
          <w:b/>
        </w:rPr>
        <w:t xml:space="preserve"> of Strategic and Technical Finance (Deputy S151), Telephone 020 8424 1332, Sharon Daniels@harrow.gov.uk</w:t>
      </w:r>
    </w:p>
    <w:p w14:paraId="1609BB6B" w14:textId="77777777" w:rsidR="00333FAA" w:rsidRPr="008A1A78" w:rsidRDefault="00333FAA" w:rsidP="00333FAA"/>
    <w:p w14:paraId="284AF6FD" w14:textId="672E1EE7" w:rsidR="00DF33F5" w:rsidRPr="008A1A78" w:rsidRDefault="00333FAA" w:rsidP="00551A97">
      <w:pPr>
        <w:pStyle w:val="Infotext"/>
        <w:rPr>
          <w:b/>
        </w:rPr>
      </w:pPr>
      <w:r w:rsidRPr="008A1A78">
        <w:rPr>
          <w:b/>
        </w:rPr>
        <w:t xml:space="preserve">Background Papers: </w:t>
      </w:r>
      <w:r w:rsidR="005808FB" w:rsidRPr="008A1A78">
        <w:rPr>
          <w:b/>
        </w:rPr>
        <w:t xml:space="preserve"> </w:t>
      </w:r>
      <w:r w:rsidR="00551A97" w:rsidRPr="008A1A78">
        <w:rPr>
          <w:b/>
        </w:rPr>
        <w:t>N/A</w:t>
      </w:r>
    </w:p>
    <w:p w14:paraId="15394DA4" w14:textId="77777777" w:rsidR="00DF33F5" w:rsidRPr="008A1A78" w:rsidRDefault="00DF33F5" w:rsidP="00DF33F5">
      <w:pPr>
        <w:pStyle w:val="ListParagraph"/>
        <w:rPr>
          <w:b/>
        </w:rPr>
      </w:pPr>
    </w:p>
    <w:p w14:paraId="3CF24015" w14:textId="0D236FCA" w:rsidR="00DF33F5" w:rsidRDefault="004C6C48" w:rsidP="004C6C48">
      <w:pPr>
        <w:pStyle w:val="Infotext"/>
        <w:rPr>
          <w:b/>
        </w:rPr>
      </w:pPr>
      <w:r w:rsidRPr="004C6C48">
        <w:rPr>
          <w:b/>
        </w:rPr>
        <w:t>Call-In Waived by the Chair of Overview and Scrutiny Committee</w:t>
      </w:r>
    </w:p>
    <w:p w14:paraId="23844917" w14:textId="24F4AD61" w:rsidR="004C6C48" w:rsidRDefault="004C6C48" w:rsidP="004C6C48">
      <w:pPr>
        <w:pStyle w:val="Infotext"/>
        <w:rPr>
          <w:b/>
        </w:rPr>
      </w:pPr>
    </w:p>
    <w:p w14:paraId="59AC3AA7" w14:textId="6E1CA0A7" w:rsidR="004C6C48" w:rsidRDefault="004C6C48" w:rsidP="004C6C48">
      <w:pPr>
        <w:pStyle w:val="Infotext"/>
        <w:rPr>
          <w:b/>
        </w:rPr>
      </w:pPr>
      <w:r>
        <w:rPr>
          <w:b/>
        </w:rPr>
        <w:t>No</w:t>
      </w:r>
    </w:p>
    <w:p w14:paraId="5F99708D" w14:textId="77777777" w:rsidR="004C6C48" w:rsidRPr="008A1A78" w:rsidRDefault="004C6C48" w:rsidP="004C6C48">
      <w:pPr>
        <w:pStyle w:val="Infotext"/>
        <w:rPr>
          <w:b/>
        </w:rPr>
      </w:pPr>
    </w:p>
    <w:p w14:paraId="5EB013A9" w14:textId="5B4C1423" w:rsidR="00507F19" w:rsidRDefault="004C6C48" w:rsidP="004C6C48">
      <w:pPr>
        <w:tabs>
          <w:tab w:val="left" w:pos="1524"/>
        </w:tabs>
        <w:spacing w:after="240"/>
        <w:contextualSpacing/>
        <w:jc w:val="both"/>
        <w:outlineLvl w:val="1"/>
        <w:rPr>
          <w:rFonts w:cs="Arial"/>
          <w:color w:val="0D0D0D" w:themeColor="text1" w:themeTint="F2"/>
          <w:sz w:val="36"/>
          <w:szCs w:val="36"/>
        </w:rPr>
      </w:pPr>
      <w:bookmarkStart w:id="3" w:name="_Toc260128495"/>
      <w:bookmarkStart w:id="4" w:name="_Toc260143053"/>
      <w:bookmarkStart w:id="5" w:name="_Toc260144074"/>
      <w:bookmarkStart w:id="6" w:name="_Toc324258849"/>
      <w:r>
        <w:rPr>
          <w:rFonts w:cs="Arial"/>
          <w:color w:val="0D0D0D" w:themeColor="text1" w:themeTint="F2"/>
          <w:sz w:val="36"/>
          <w:szCs w:val="36"/>
        </w:rPr>
        <w:tab/>
      </w:r>
    </w:p>
    <w:p w14:paraId="7B56B2A0" w14:textId="77777777" w:rsidR="00A94722" w:rsidRDefault="00A94722">
      <w:pPr>
        <w:rPr>
          <w:rFonts w:cs="Arial"/>
          <w:color w:val="0D0D0D" w:themeColor="text1" w:themeTint="F2"/>
          <w:sz w:val="36"/>
          <w:szCs w:val="36"/>
        </w:rPr>
      </w:pPr>
      <w:r>
        <w:rPr>
          <w:rFonts w:cs="Arial"/>
          <w:color w:val="0D0D0D" w:themeColor="text1" w:themeTint="F2"/>
          <w:sz w:val="36"/>
          <w:szCs w:val="36"/>
        </w:rPr>
        <w:br w:type="page"/>
      </w:r>
    </w:p>
    <w:p w14:paraId="660E6C72" w14:textId="1B6135B9" w:rsidR="00D87B72" w:rsidRPr="00D87B72" w:rsidRDefault="001F3457" w:rsidP="00D87B72">
      <w:pPr>
        <w:spacing w:after="240"/>
        <w:contextualSpacing/>
        <w:jc w:val="both"/>
        <w:outlineLvl w:val="1"/>
        <w:rPr>
          <w:rFonts w:cs="Arial"/>
          <w:color w:val="0D0D0D" w:themeColor="text1" w:themeTint="F2"/>
          <w:sz w:val="36"/>
          <w:szCs w:val="36"/>
        </w:rPr>
      </w:pPr>
      <w:r w:rsidRPr="00D87B72">
        <w:rPr>
          <w:rFonts w:cs="Arial"/>
          <w:color w:val="0D0D0D" w:themeColor="text1" w:themeTint="F2"/>
          <w:sz w:val="36"/>
          <w:szCs w:val="36"/>
        </w:rPr>
        <w:lastRenderedPageBreak/>
        <w:t xml:space="preserve">Appendix </w:t>
      </w:r>
      <w:r w:rsidR="00D87B72" w:rsidRPr="00D87B72">
        <w:rPr>
          <w:rFonts w:cs="Arial"/>
          <w:color w:val="0D0D0D" w:themeColor="text1" w:themeTint="F2"/>
          <w:sz w:val="36"/>
          <w:szCs w:val="36"/>
        </w:rPr>
        <w:t>1</w:t>
      </w:r>
      <w:r w:rsidRPr="00D87B72">
        <w:rPr>
          <w:rFonts w:cs="Arial"/>
          <w:color w:val="0D0D0D" w:themeColor="text1" w:themeTint="F2"/>
          <w:sz w:val="36"/>
          <w:szCs w:val="36"/>
        </w:rPr>
        <w:t>:</w:t>
      </w:r>
      <w:bookmarkStart w:id="7" w:name="_Toc37170918"/>
      <w:r w:rsidR="00D87B72" w:rsidRPr="00D87B72">
        <w:rPr>
          <w:rFonts w:cs="Arial"/>
          <w:color w:val="0D0D0D" w:themeColor="text1" w:themeTint="F2"/>
          <w:sz w:val="36"/>
          <w:szCs w:val="36"/>
        </w:rPr>
        <w:t xml:space="preserve"> Link Group Economic Commentary</w:t>
      </w:r>
    </w:p>
    <w:bookmarkEnd w:id="7"/>
    <w:p w14:paraId="47E293A6" w14:textId="77777777" w:rsidR="00D87B72" w:rsidRDefault="00D87B72" w:rsidP="00D87B72">
      <w:pPr>
        <w:tabs>
          <w:tab w:val="num" w:pos="1701"/>
        </w:tabs>
        <w:autoSpaceDE w:val="0"/>
        <w:autoSpaceDN w:val="0"/>
        <w:adjustRightInd w:val="0"/>
        <w:spacing w:after="200"/>
        <w:jc w:val="both"/>
        <w:rPr>
          <w:rFonts w:eastAsia="Bliss 2 Regular" w:cs="Arial"/>
          <w:b/>
          <w:bCs/>
          <w:color w:val="0D0D0D"/>
          <w:szCs w:val="24"/>
        </w:rPr>
      </w:pPr>
    </w:p>
    <w:p w14:paraId="5ACE3BD4" w14:textId="651092F4" w:rsidR="00D87B72" w:rsidRPr="00D87B72" w:rsidRDefault="00D87B72" w:rsidP="00D87B72">
      <w:pPr>
        <w:tabs>
          <w:tab w:val="num" w:pos="1701"/>
        </w:tabs>
        <w:autoSpaceDE w:val="0"/>
        <w:autoSpaceDN w:val="0"/>
        <w:adjustRightInd w:val="0"/>
        <w:spacing w:after="200"/>
        <w:jc w:val="both"/>
        <w:rPr>
          <w:rFonts w:eastAsia="Bliss 2 Regular" w:cs="Arial"/>
          <w:color w:val="0D0D0D"/>
          <w:sz w:val="36"/>
          <w:szCs w:val="36"/>
        </w:rPr>
      </w:pPr>
      <w:r w:rsidRPr="00D87B72">
        <w:rPr>
          <w:rFonts w:eastAsia="Bliss 2 Regular" w:cs="Arial"/>
          <w:color w:val="0D0D0D"/>
          <w:sz w:val="36"/>
          <w:szCs w:val="36"/>
        </w:rPr>
        <w:t>The Economy and Interest Rates</w:t>
      </w:r>
    </w:p>
    <w:p w14:paraId="0245FF1E" w14:textId="5258CCE8" w:rsidR="00D87B72" w:rsidRDefault="00D87B72" w:rsidP="00D87B72">
      <w:pPr>
        <w:pStyle w:val="ListParagraph"/>
        <w:numPr>
          <w:ilvl w:val="0"/>
          <w:numId w:val="38"/>
        </w:numPr>
        <w:tabs>
          <w:tab w:val="left" w:pos="567"/>
        </w:tabs>
        <w:ind w:left="567" w:hanging="567"/>
        <w:jc w:val="both"/>
        <w:rPr>
          <w:rFonts w:cs="Arial"/>
          <w:bCs/>
          <w:szCs w:val="24"/>
        </w:rPr>
      </w:pPr>
      <w:r w:rsidRPr="00AB317E">
        <w:rPr>
          <w:rFonts w:cs="Arial"/>
          <w:b/>
          <w:szCs w:val="24"/>
        </w:rPr>
        <w:t>UK.  Coronavirus</w:t>
      </w:r>
      <w:r w:rsidRPr="00D87B72">
        <w:rPr>
          <w:rFonts w:cs="Arial"/>
          <w:bCs/>
          <w:szCs w:val="24"/>
        </w:rPr>
        <w:t xml:space="preserve">. The financial year 2020/21 will go down in history as being the year of the pandemic.  The first national lockdown in late March 2020 did huge damage to an economy that was unprepared for such an eventuality.  This caused an economic downturn that exceeded the one caused by the financial crisis of 2008/09.  </w:t>
      </w:r>
    </w:p>
    <w:p w14:paraId="33B9C42A" w14:textId="77777777" w:rsidR="00D87B72" w:rsidRDefault="00D87B72" w:rsidP="00D87B72">
      <w:pPr>
        <w:pStyle w:val="ListParagraph"/>
        <w:tabs>
          <w:tab w:val="left" w:pos="567"/>
        </w:tabs>
        <w:ind w:left="567"/>
        <w:jc w:val="both"/>
        <w:rPr>
          <w:rFonts w:cs="Arial"/>
          <w:bCs/>
          <w:szCs w:val="24"/>
        </w:rPr>
      </w:pPr>
    </w:p>
    <w:p w14:paraId="457F77DC" w14:textId="77777777" w:rsidR="00D87B72" w:rsidRDefault="00D87B72" w:rsidP="00D87B72">
      <w:pPr>
        <w:pStyle w:val="ListParagraph"/>
        <w:numPr>
          <w:ilvl w:val="0"/>
          <w:numId w:val="38"/>
        </w:numPr>
        <w:tabs>
          <w:tab w:val="left" w:pos="567"/>
        </w:tabs>
        <w:ind w:left="567" w:hanging="567"/>
        <w:jc w:val="both"/>
        <w:rPr>
          <w:rFonts w:cs="Arial"/>
          <w:bCs/>
          <w:szCs w:val="24"/>
        </w:rPr>
      </w:pPr>
      <w:r w:rsidRPr="00D87B72">
        <w:rPr>
          <w:rFonts w:cs="Arial"/>
          <w:bCs/>
          <w:szCs w:val="24"/>
        </w:rPr>
        <w:t xml:space="preserve">A short second lockdown in November did relatively little damage but by the time of the third lockdown in January 2021, businesses and individuals had become more resilient in adapting to working in new ways during a three month lockdown so much less damage than was caused than in the first one. </w:t>
      </w:r>
    </w:p>
    <w:p w14:paraId="46260DF6" w14:textId="77777777" w:rsidR="00D87B72" w:rsidRPr="00D87B72" w:rsidRDefault="00D87B72" w:rsidP="00D87B72">
      <w:pPr>
        <w:pStyle w:val="ListParagraph"/>
        <w:rPr>
          <w:rFonts w:cs="Arial"/>
          <w:bCs/>
          <w:szCs w:val="24"/>
        </w:rPr>
      </w:pPr>
    </w:p>
    <w:p w14:paraId="267A3540" w14:textId="77777777" w:rsidR="00D87B72" w:rsidRDefault="00D87B72" w:rsidP="00D87B72">
      <w:pPr>
        <w:pStyle w:val="ListParagraph"/>
        <w:numPr>
          <w:ilvl w:val="0"/>
          <w:numId w:val="38"/>
        </w:numPr>
        <w:tabs>
          <w:tab w:val="left" w:pos="567"/>
        </w:tabs>
        <w:ind w:left="567" w:hanging="567"/>
        <w:jc w:val="both"/>
        <w:rPr>
          <w:rFonts w:cs="Arial"/>
          <w:bCs/>
          <w:szCs w:val="24"/>
        </w:rPr>
      </w:pPr>
      <w:r w:rsidRPr="00D87B72">
        <w:rPr>
          <w:rFonts w:cs="Arial"/>
          <w:bCs/>
          <w:szCs w:val="24"/>
        </w:rPr>
        <w:t xml:space="preserve">The advent of vaccines starting in November 2020, were a game changer. The way in which the UK and US have led the world in implementing a fast programme of vaccination which promises to lead to a return to something approaching normal life during the second half of 2021, has been instrumental in speeding economic recovery and the reopening of the economy. </w:t>
      </w:r>
    </w:p>
    <w:p w14:paraId="39598FB3" w14:textId="77777777" w:rsidR="00D87B72" w:rsidRPr="00D87B72" w:rsidRDefault="00D87B72" w:rsidP="00D87B72">
      <w:pPr>
        <w:pStyle w:val="ListParagraph"/>
        <w:rPr>
          <w:rFonts w:cs="Arial"/>
          <w:bCs/>
          <w:szCs w:val="24"/>
        </w:rPr>
      </w:pPr>
    </w:p>
    <w:p w14:paraId="658524ED" w14:textId="2683B9C3" w:rsidR="00D87B72" w:rsidRPr="00D87B72" w:rsidRDefault="00D87B72" w:rsidP="00D87B72">
      <w:pPr>
        <w:pStyle w:val="ListParagraph"/>
        <w:numPr>
          <w:ilvl w:val="0"/>
          <w:numId w:val="38"/>
        </w:numPr>
        <w:tabs>
          <w:tab w:val="left" w:pos="567"/>
        </w:tabs>
        <w:ind w:left="567" w:hanging="567"/>
        <w:jc w:val="both"/>
        <w:rPr>
          <w:rFonts w:cs="Arial"/>
          <w:bCs/>
          <w:szCs w:val="24"/>
        </w:rPr>
      </w:pPr>
      <w:r w:rsidRPr="00D87B72">
        <w:rPr>
          <w:rFonts w:cs="Arial"/>
          <w:bCs/>
          <w:szCs w:val="24"/>
        </w:rPr>
        <w:t>In addition, the household saving rate has been exceptionally high since the first lockdown in March 2020 and so there is plenty of pent-up demand and purchasing power stored up for services in the still-depressed sectors like restaurants, travel and hotels as soon as they reopen. It is therefore expected that the UK economy could recover its pre-pandemic level of economic activity during quarter 1 of 2022.</w:t>
      </w:r>
    </w:p>
    <w:p w14:paraId="1D562A8A" w14:textId="77777777" w:rsidR="00D87B72" w:rsidRPr="00D87B72" w:rsidRDefault="00D87B72" w:rsidP="00D87B72">
      <w:pPr>
        <w:tabs>
          <w:tab w:val="num" w:pos="1701"/>
        </w:tabs>
        <w:autoSpaceDE w:val="0"/>
        <w:autoSpaceDN w:val="0"/>
        <w:adjustRightInd w:val="0"/>
        <w:spacing w:after="200"/>
        <w:jc w:val="both"/>
        <w:rPr>
          <w:rFonts w:eastAsia="Arial" w:cs="Arial"/>
          <w:bCs/>
          <w:color w:val="1D1B11"/>
          <w:szCs w:val="24"/>
        </w:rPr>
      </w:pPr>
    </w:p>
    <w:p w14:paraId="3FE688A4" w14:textId="77777777" w:rsidR="00D87B72" w:rsidRPr="002C3B6C" w:rsidRDefault="00D87B72" w:rsidP="00D87B72">
      <w:pPr>
        <w:spacing w:after="240"/>
        <w:ind w:left="720"/>
        <w:rPr>
          <w:rFonts w:ascii="Calibri" w:hAnsi="Calibri" w:cs="Arial"/>
          <w:i/>
          <w:color w:val="0D0D0D"/>
          <w:sz w:val="22"/>
          <w:szCs w:val="22"/>
        </w:rPr>
      </w:pPr>
      <w:r w:rsidRPr="002C3B6C">
        <w:rPr>
          <w:noProof/>
          <w:lang w:eastAsia="en-GB"/>
        </w:rPr>
        <w:drawing>
          <wp:inline distT="0" distB="0" distL="0" distR="0" wp14:anchorId="424D8425" wp14:editId="32D35DDA">
            <wp:extent cx="4981575" cy="2981325"/>
            <wp:effectExtent l="0" t="0" r="0" b="0"/>
            <wp:docPr id="6" name="Chart 6">
              <a:extLst xmlns:a="http://schemas.openxmlformats.org/drawingml/2006/main">
                <a:ext uri="{FF2B5EF4-FFF2-40B4-BE49-F238E27FC236}">
                  <a16:creationId xmlns:a16="http://schemas.microsoft.com/office/drawing/2014/main" id="{BD66A937-C1A6-4D5F-B157-3EEA8F37D4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14CEAD" w14:textId="5CBAA4F3" w:rsidR="00D87B72" w:rsidRDefault="00D87B72" w:rsidP="00D87B72">
      <w:pPr>
        <w:pStyle w:val="ListParagraph"/>
        <w:numPr>
          <w:ilvl w:val="0"/>
          <w:numId w:val="38"/>
        </w:numPr>
        <w:tabs>
          <w:tab w:val="left" w:pos="567"/>
        </w:tabs>
        <w:ind w:left="567" w:hanging="567"/>
        <w:jc w:val="both"/>
        <w:rPr>
          <w:rFonts w:cs="Arial"/>
          <w:bCs/>
          <w:szCs w:val="24"/>
        </w:rPr>
      </w:pPr>
      <w:r w:rsidRPr="00D87B72">
        <w:rPr>
          <w:rFonts w:cs="Arial"/>
          <w:bCs/>
          <w:szCs w:val="24"/>
        </w:rPr>
        <w:t xml:space="preserve">Both the Government and the Bank of England took rapid action in March 2020 at the height of the crisis to provide support to financial markets to ensure their proper functioning, and to support the economy and to protect jobs. </w:t>
      </w:r>
    </w:p>
    <w:p w14:paraId="7F56D6D7" w14:textId="77777777" w:rsidR="00D87B72" w:rsidRPr="00D87B72" w:rsidRDefault="00D87B72" w:rsidP="00D87B72">
      <w:pPr>
        <w:pStyle w:val="ListParagraph"/>
        <w:tabs>
          <w:tab w:val="left" w:pos="567"/>
        </w:tabs>
        <w:ind w:left="567"/>
        <w:jc w:val="both"/>
        <w:rPr>
          <w:rFonts w:cs="Arial"/>
          <w:bCs/>
          <w:szCs w:val="24"/>
        </w:rPr>
      </w:pPr>
    </w:p>
    <w:p w14:paraId="5B49872E" w14:textId="6A10F76A" w:rsidR="00D87B72" w:rsidRDefault="00D87B72" w:rsidP="00D87B72">
      <w:pPr>
        <w:pStyle w:val="ListParagraph"/>
        <w:numPr>
          <w:ilvl w:val="0"/>
          <w:numId w:val="38"/>
        </w:numPr>
        <w:tabs>
          <w:tab w:val="left" w:pos="567"/>
        </w:tabs>
        <w:ind w:left="567" w:hanging="567"/>
        <w:jc w:val="both"/>
        <w:rPr>
          <w:rFonts w:cs="Arial"/>
          <w:bCs/>
          <w:szCs w:val="24"/>
        </w:rPr>
      </w:pPr>
      <w:r w:rsidRPr="00D87B72">
        <w:rPr>
          <w:rFonts w:cs="Arial"/>
          <w:bCs/>
          <w:szCs w:val="24"/>
        </w:rPr>
        <w:t xml:space="preserve">The </w:t>
      </w:r>
      <w:r w:rsidRPr="00AB317E">
        <w:rPr>
          <w:rFonts w:cs="Arial"/>
          <w:b/>
          <w:szCs w:val="24"/>
        </w:rPr>
        <w:t>Monetary Policy Committee</w:t>
      </w:r>
      <w:r w:rsidRPr="00D87B72">
        <w:rPr>
          <w:rFonts w:cs="Arial"/>
          <w:bCs/>
          <w:szCs w:val="24"/>
        </w:rPr>
        <w:t xml:space="preserve"> cut Bank Rate from 0.75% to 0.25% and then to 0.10% in March 2020 and embarked on a £200bn programme of quantitative </w:t>
      </w:r>
      <w:r w:rsidRPr="00D87B72">
        <w:rPr>
          <w:rFonts w:cs="Arial"/>
          <w:bCs/>
          <w:szCs w:val="24"/>
        </w:rPr>
        <w:lastRenderedPageBreak/>
        <w:t xml:space="preserve">easing QE (purchase of gilts </w:t>
      </w:r>
      <w:proofErr w:type="gramStart"/>
      <w:r w:rsidRPr="00D87B72">
        <w:rPr>
          <w:rFonts w:cs="Arial"/>
          <w:bCs/>
          <w:szCs w:val="24"/>
        </w:rPr>
        <w:t>so as to</w:t>
      </w:r>
      <w:proofErr w:type="gramEnd"/>
      <w:r w:rsidRPr="00D87B72">
        <w:rPr>
          <w:rFonts w:cs="Arial"/>
          <w:bCs/>
          <w:szCs w:val="24"/>
        </w:rPr>
        <w:t xml:space="preserve"> reduce borrowing costs throughout the economy by lowering gilt yields). The MPC increased then QE by £100bn in June and by £150bn in November to a total of £895bn. While Bank Rate remained unchanged for the rest of the year, financial markets were concerned that the MPC could cut Bank Rate to a negative rate; this was firmly discounted at the February 2021 MPC meeting when it was established that commercial banks would be unable to implement negative rates for at least six months – by which time the economy was expected to be making a strong recovery and negative rates would no longer be needed.</w:t>
      </w:r>
    </w:p>
    <w:p w14:paraId="27F08E34" w14:textId="77777777" w:rsidR="00AB317E" w:rsidRPr="00AB317E" w:rsidRDefault="00AB317E" w:rsidP="00AB317E">
      <w:pPr>
        <w:tabs>
          <w:tab w:val="left" w:pos="567"/>
        </w:tabs>
        <w:jc w:val="both"/>
        <w:rPr>
          <w:rFonts w:cs="Arial"/>
          <w:bCs/>
          <w:szCs w:val="24"/>
        </w:rPr>
      </w:pPr>
    </w:p>
    <w:p w14:paraId="2ED3E2BA" w14:textId="02695D66" w:rsidR="00D87B72" w:rsidRDefault="00D87B72" w:rsidP="00D87B72">
      <w:pPr>
        <w:pStyle w:val="ListParagraph"/>
        <w:numPr>
          <w:ilvl w:val="0"/>
          <w:numId w:val="38"/>
        </w:numPr>
        <w:tabs>
          <w:tab w:val="left" w:pos="567"/>
        </w:tabs>
        <w:ind w:left="567" w:hanging="567"/>
        <w:jc w:val="both"/>
        <w:rPr>
          <w:rFonts w:cs="Arial"/>
          <w:bCs/>
          <w:szCs w:val="24"/>
        </w:rPr>
      </w:pPr>
      <w:r w:rsidRPr="00AB317E">
        <w:rPr>
          <w:rFonts w:cs="Arial"/>
          <w:b/>
          <w:szCs w:val="24"/>
        </w:rPr>
        <w:t>Average inflation targeting.</w:t>
      </w:r>
      <w:r w:rsidRPr="00D87B72">
        <w:rPr>
          <w:rFonts w:cs="Arial"/>
          <w:bCs/>
          <w:szCs w:val="24"/>
        </w:rPr>
        <w:t xml:space="preserve"> This was the major change adopted by the Bank of England in terms of implementing its inflation target of 2%.   The key addition to the Bank’s forward guidance in August was a new phrase in the policy statement, namely that “it does not intend to tighten monetary policy until there is clear evidence that significant progress is being made in eliminating spare capacity and </w:t>
      </w:r>
      <w:r w:rsidRPr="00AB317E">
        <w:rPr>
          <w:rFonts w:cs="Arial"/>
          <w:b/>
          <w:i/>
          <w:iCs/>
          <w:szCs w:val="24"/>
        </w:rPr>
        <w:t>achieving the 2% target sustainably</w:t>
      </w:r>
      <w:r w:rsidRPr="00D87B72">
        <w:rPr>
          <w:rFonts w:cs="Arial"/>
          <w:bCs/>
          <w:szCs w:val="24"/>
        </w:rPr>
        <w:t xml:space="preserve">”. That seems designed to say, in effect, that even if inflation rises to 2% in a couple of years’ time, do not expect any action from the MPC to raise Bank Rate – until they can clearly see that level of inflation is going to be persistently above target if it takes no action to raise Bank Rate. This sets a high bar for raising Bank Rate and no increase is expected by March 2024, and possibly for as long as five years.  Inflation has been well under 2% during 2020/21; it is expected to briefly peak at just over 2% towards the end of 2021, but this is a temporary </w:t>
      </w:r>
      <w:proofErr w:type="gramStart"/>
      <w:r w:rsidRPr="00D87B72">
        <w:rPr>
          <w:rFonts w:cs="Arial"/>
          <w:bCs/>
          <w:szCs w:val="24"/>
        </w:rPr>
        <w:t>short lived</w:t>
      </w:r>
      <w:proofErr w:type="gramEnd"/>
      <w:r w:rsidRPr="00D87B72">
        <w:rPr>
          <w:rFonts w:cs="Arial"/>
          <w:bCs/>
          <w:szCs w:val="24"/>
        </w:rPr>
        <w:t xml:space="preserve"> factor and so not a concern to the MPC.</w:t>
      </w:r>
    </w:p>
    <w:p w14:paraId="1F30C409" w14:textId="77777777" w:rsidR="00AB317E" w:rsidRPr="00AB317E" w:rsidRDefault="00AB317E" w:rsidP="00AB317E">
      <w:pPr>
        <w:tabs>
          <w:tab w:val="left" w:pos="567"/>
        </w:tabs>
        <w:jc w:val="both"/>
        <w:rPr>
          <w:rFonts w:cs="Arial"/>
          <w:bCs/>
          <w:szCs w:val="24"/>
        </w:rPr>
      </w:pPr>
    </w:p>
    <w:p w14:paraId="11ADCC72" w14:textId="73185AC0" w:rsidR="00D87B72" w:rsidRDefault="00D87B72" w:rsidP="00D87B72">
      <w:pPr>
        <w:pStyle w:val="ListParagraph"/>
        <w:numPr>
          <w:ilvl w:val="0"/>
          <w:numId w:val="38"/>
        </w:numPr>
        <w:tabs>
          <w:tab w:val="left" w:pos="567"/>
        </w:tabs>
        <w:ind w:left="567" w:hanging="567"/>
        <w:jc w:val="both"/>
        <w:rPr>
          <w:rFonts w:cs="Arial"/>
          <w:bCs/>
          <w:szCs w:val="24"/>
        </w:rPr>
      </w:pPr>
      <w:r w:rsidRPr="00AB317E">
        <w:rPr>
          <w:rFonts w:cs="Arial"/>
          <w:b/>
          <w:szCs w:val="24"/>
        </w:rPr>
        <w:t>Government support</w:t>
      </w:r>
      <w:r w:rsidRPr="00D87B72">
        <w:rPr>
          <w:rFonts w:cs="Arial"/>
          <w:bCs/>
          <w:szCs w:val="24"/>
        </w:rPr>
        <w:t xml:space="preserve">. The Chancellor has implemented repeated rounds of support to businesses by way of cheap loans and other </w:t>
      </w:r>
      <w:proofErr w:type="gramStart"/>
      <w:r w:rsidRPr="00D87B72">
        <w:rPr>
          <w:rFonts w:cs="Arial"/>
          <w:bCs/>
          <w:szCs w:val="24"/>
        </w:rPr>
        <w:t>measures, and</w:t>
      </w:r>
      <w:proofErr w:type="gramEnd"/>
      <w:r w:rsidRPr="00D87B72">
        <w:rPr>
          <w:rFonts w:cs="Arial"/>
          <w:bCs/>
          <w:szCs w:val="24"/>
        </w:rPr>
        <w:t xml:space="preserve"> has protected jobs by paying for workers to be placed on furlough. This support has come at a huge cost in terms of the Government’s budget deficit ballooning in 20/21 and 21/22 so that the Debt to GDP ratio reaches around 100%.  The Budget on 3rd March 2021 increased fiscal support to the economy and employment during 2021 and 2022 followed by substantial tax rises in the following three years to help to pay the cost for the pandemic. This will help further to strengthen the economic recovery from the pandemic and to return the government’s finances to a balanced budget on a current expenditure and income basis in 2025/26. This will stop the Debt to GDP ratio rising further from 100%. An area of concern, though, is that the government’s debt is now twice as sensitive to interest rate rises as before the pandemic due to QE operations substituting fixed long-term debt for floating rate debt; there is, therefore, much incentive for the Government to promote Bank Rate staying low e.g. by using fiscal policy in conjunction with the monetary policy action by the Bank of England to keep inflation from rising too high, and / or by amending the Bank’s policy mandate to allow for a higher target for inflation.</w:t>
      </w:r>
    </w:p>
    <w:p w14:paraId="085E65AC" w14:textId="77777777" w:rsidR="00AB317E" w:rsidRPr="00D87B72" w:rsidRDefault="00AB317E" w:rsidP="00AB317E">
      <w:pPr>
        <w:pStyle w:val="ListParagraph"/>
        <w:tabs>
          <w:tab w:val="left" w:pos="567"/>
        </w:tabs>
        <w:ind w:left="567"/>
        <w:jc w:val="both"/>
        <w:rPr>
          <w:rFonts w:cs="Arial"/>
          <w:bCs/>
          <w:szCs w:val="24"/>
        </w:rPr>
      </w:pPr>
    </w:p>
    <w:p w14:paraId="5388E0D8" w14:textId="286F3CF2" w:rsidR="00D87B72" w:rsidRDefault="00D87B72" w:rsidP="00D87B72">
      <w:pPr>
        <w:pStyle w:val="ListParagraph"/>
        <w:numPr>
          <w:ilvl w:val="0"/>
          <w:numId w:val="38"/>
        </w:numPr>
        <w:tabs>
          <w:tab w:val="left" w:pos="567"/>
        </w:tabs>
        <w:ind w:left="567" w:hanging="567"/>
        <w:jc w:val="both"/>
        <w:rPr>
          <w:rFonts w:cs="Arial"/>
          <w:bCs/>
          <w:szCs w:val="24"/>
        </w:rPr>
      </w:pPr>
      <w:r w:rsidRPr="00AB317E">
        <w:rPr>
          <w:rFonts w:cs="Arial"/>
          <w:b/>
          <w:szCs w:val="24"/>
        </w:rPr>
        <w:t>BREXIT.</w:t>
      </w:r>
      <w:r w:rsidRPr="00D87B72">
        <w:rPr>
          <w:rFonts w:cs="Arial"/>
          <w:bCs/>
          <w:szCs w:val="24"/>
        </w:rPr>
        <w:t xml:space="preserve"> The final agreement on 24th December 2020 eliminated a significant downside risk for the UK economy.  The initial agreement only covered trade so there is further work to be done on the services sector where temporary equivalence has been granted in both directions between the UK and EU; that now needs to be formalised on a permanent basis.  There was much disruption to trade in January as form filling has proved to be a formidable barrier to trade. This appears to have eased somewhat since then but is an area that needs further work to ease difficulties, which are still acute in some areas.</w:t>
      </w:r>
    </w:p>
    <w:p w14:paraId="65622BC8" w14:textId="77777777" w:rsidR="00AB317E" w:rsidRPr="00AB317E" w:rsidRDefault="00AB317E" w:rsidP="00AB317E">
      <w:pPr>
        <w:pStyle w:val="ListParagraph"/>
        <w:rPr>
          <w:rFonts w:cs="Arial"/>
          <w:bCs/>
          <w:szCs w:val="24"/>
        </w:rPr>
      </w:pPr>
    </w:p>
    <w:p w14:paraId="4E81D200" w14:textId="77777777" w:rsidR="00AB317E" w:rsidRPr="00AB317E" w:rsidRDefault="00AB317E" w:rsidP="00AB317E">
      <w:pPr>
        <w:tabs>
          <w:tab w:val="left" w:pos="567"/>
        </w:tabs>
        <w:jc w:val="both"/>
        <w:rPr>
          <w:rFonts w:cs="Arial"/>
          <w:bCs/>
          <w:szCs w:val="24"/>
        </w:rPr>
      </w:pPr>
    </w:p>
    <w:p w14:paraId="4526977C" w14:textId="20427E87" w:rsidR="00D87B72" w:rsidRDefault="00D87B72" w:rsidP="00D87B72">
      <w:pPr>
        <w:pStyle w:val="ListParagraph"/>
        <w:numPr>
          <w:ilvl w:val="0"/>
          <w:numId w:val="38"/>
        </w:numPr>
        <w:tabs>
          <w:tab w:val="left" w:pos="567"/>
        </w:tabs>
        <w:ind w:left="567" w:hanging="567"/>
        <w:jc w:val="both"/>
        <w:rPr>
          <w:rFonts w:cs="Arial"/>
          <w:bCs/>
          <w:szCs w:val="24"/>
        </w:rPr>
      </w:pPr>
      <w:r w:rsidRPr="00AB317E">
        <w:rPr>
          <w:rFonts w:cs="Arial"/>
          <w:b/>
          <w:szCs w:val="24"/>
        </w:rPr>
        <w:lastRenderedPageBreak/>
        <w:t>USA.</w:t>
      </w:r>
      <w:r w:rsidRPr="00D87B72">
        <w:rPr>
          <w:rFonts w:cs="Arial"/>
          <w:bCs/>
          <w:szCs w:val="24"/>
        </w:rPr>
        <w:t xml:space="preserve"> The US economy did not suffer as much damage as the UK economy due to the pandemic. The Democrats won the presidential election in November 2020 and have control of both Congress and the Senate, although power is more limited in the latter. This enabled the Democrats to pass a $1.9trn (8.8% of GDP) stimulus package in March on top of the $900bn fiscal stimulus deal passed by Congress in late December. These, together with the vaccine rollout proceeding swiftly to hit the target of giving a first jab to over half of the population within the President’s first 100 days, will promote a rapid easing of restrictions and strong economic recovery during 2021. The Democrats are also planning to pass a $2trn fiscal stimulus package aimed at renewing infrastructure over the next decade. Although this package is longer-term, if passed, it would also help economic recovery in the near-term.</w:t>
      </w:r>
    </w:p>
    <w:p w14:paraId="31FCCA06" w14:textId="77777777" w:rsidR="00AB317E" w:rsidRPr="00D87B72" w:rsidRDefault="00AB317E" w:rsidP="00AB317E">
      <w:pPr>
        <w:pStyle w:val="ListParagraph"/>
        <w:tabs>
          <w:tab w:val="left" w:pos="567"/>
        </w:tabs>
        <w:ind w:left="567"/>
        <w:jc w:val="both"/>
        <w:rPr>
          <w:rFonts w:cs="Arial"/>
          <w:bCs/>
          <w:szCs w:val="24"/>
        </w:rPr>
      </w:pPr>
    </w:p>
    <w:p w14:paraId="748E41CA" w14:textId="49DF1EDF" w:rsidR="00D87B72" w:rsidRDefault="00D87B72" w:rsidP="00D87B72">
      <w:pPr>
        <w:pStyle w:val="ListParagraph"/>
        <w:numPr>
          <w:ilvl w:val="0"/>
          <w:numId w:val="38"/>
        </w:numPr>
        <w:tabs>
          <w:tab w:val="left" w:pos="567"/>
        </w:tabs>
        <w:ind w:left="567" w:hanging="567"/>
        <w:jc w:val="both"/>
        <w:rPr>
          <w:rFonts w:cs="Arial"/>
          <w:bCs/>
          <w:szCs w:val="24"/>
        </w:rPr>
      </w:pPr>
      <w:r w:rsidRPr="00D87B72">
        <w:rPr>
          <w:rFonts w:cs="Arial"/>
          <w:bCs/>
          <w:szCs w:val="24"/>
        </w:rPr>
        <w:t xml:space="preserve">After Chair Jerome Powell spoke on the </w:t>
      </w:r>
      <w:r w:rsidRPr="00AB317E">
        <w:rPr>
          <w:rFonts w:cs="Arial"/>
          <w:b/>
          <w:szCs w:val="24"/>
        </w:rPr>
        <w:t xml:space="preserve">Fed's adoption of a flexible average inflation target </w:t>
      </w:r>
      <w:r w:rsidRPr="00D87B72">
        <w:rPr>
          <w:rFonts w:cs="Arial"/>
          <w:bCs/>
          <w:szCs w:val="24"/>
        </w:rPr>
        <w:t xml:space="preserve">in his Jackson Hole speech in late August 2020, the mid-September meeting of the Fed agreed a new inflation target - that </w:t>
      </w:r>
      <w:r w:rsidRPr="00AB317E">
        <w:rPr>
          <w:rFonts w:cs="Arial"/>
          <w:bCs/>
          <w:i/>
          <w:iCs/>
          <w:szCs w:val="24"/>
        </w:rPr>
        <w:t>"it would likely be appropriate to maintain the current target range until labour market conditions were judged to be consistent with the Committee's assessments of maximum employment and inflation had risen to 2% and was on track to moderately exceed 2% for some time."</w:t>
      </w:r>
      <w:r w:rsidRPr="00D87B72">
        <w:rPr>
          <w:rFonts w:cs="Arial"/>
          <w:bCs/>
          <w:szCs w:val="24"/>
        </w:rPr>
        <w:t xml:space="preserve"> This change was aimed to provide more stimulus for economic growth and higher levels of employment and to avoid the danger of getting caught in a deflationary “trap” like Japan. It is to be noted that inflation has actually been under-shooting the 2% target significantly for most of the last decade, (and this year), so financial markets took note that higher levels of inflation are likely to be in the pipeline; long-term bond yields duly rose after the meeting. There is now some expectation that where the Fed has led in changing its policy towards implementing its inflation and full employment mandate, other major central banks will follow, as indeed the Bank of England has done so already. The Fed expects strong economic growth during 2021 to have only a transitory impact on inflation, which explains why </w:t>
      </w:r>
      <w:proofErr w:type="gramStart"/>
      <w:r w:rsidRPr="00D87B72">
        <w:rPr>
          <w:rFonts w:cs="Arial"/>
          <w:bCs/>
          <w:szCs w:val="24"/>
        </w:rPr>
        <w:t>the majority of</w:t>
      </w:r>
      <w:proofErr w:type="gramEnd"/>
      <w:r w:rsidRPr="00D87B72">
        <w:rPr>
          <w:rFonts w:cs="Arial"/>
          <w:bCs/>
          <w:szCs w:val="24"/>
        </w:rPr>
        <w:t xml:space="preserve"> Fed officials project US interest rates to remain near-zero through to the end of 2023. The key message is still that policy will remain unusually accommodative – with near-zero rates and asset purchases – continuing for several more years. This is likely to result in keeping treasury yields at historically low levels.  However, financial markets in 2021 have been concerned that the sheer amount of fiscal stimulus, on top of highly accommodative monetary policy, could be over-kill leading to a rapid elimination of spare capacity in the economy and generating higher inflation much quicker than the Fed expects. They have also been concerned as to how and when the Fed will eventually wind down its programme of monthly QE purchases of treasuries. These concerns have pushed treasury yields sharply up in the US in 2021 and is likely to have also exerted some upward pressure on gilt yields in the UK.</w:t>
      </w:r>
    </w:p>
    <w:p w14:paraId="0FB030EC" w14:textId="77777777" w:rsidR="00AB317E" w:rsidRPr="00D87B72" w:rsidRDefault="00AB317E" w:rsidP="00AB317E">
      <w:pPr>
        <w:pStyle w:val="ListParagraph"/>
        <w:tabs>
          <w:tab w:val="left" w:pos="567"/>
        </w:tabs>
        <w:ind w:left="567"/>
        <w:jc w:val="both"/>
        <w:rPr>
          <w:rFonts w:cs="Arial"/>
          <w:bCs/>
          <w:szCs w:val="24"/>
        </w:rPr>
      </w:pPr>
    </w:p>
    <w:p w14:paraId="107EE91B" w14:textId="75519464" w:rsidR="00D87B72" w:rsidRDefault="00D87B72" w:rsidP="00D87B72">
      <w:pPr>
        <w:pStyle w:val="ListParagraph"/>
        <w:numPr>
          <w:ilvl w:val="0"/>
          <w:numId w:val="38"/>
        </w:numPr>
        <w:tabs>
          <w:tab w:val="left" w:pos="567"/>
        </w:tabs>
        <w:ind w:left="567" w:hanging="567"/>
        <w:jc w:val="both"/>
        <w:rPr>
          <w:rFonts w:cs="Arial"/>
          <w:bCs/>
          <w:szCs w:val="24"/>
        </w:rPr>
      </w:pPr>
      <w:r w:rsidRPr="00AB317E">
        <w:rPr>
          <w:rFonts w:cs="Arial"/>
          <w:b/>
          <w:szCs w:val="24"/>
        </w:rPr>
        <w:t>EU.</w:t>
      </w:r>
      <w:r w:rsidRPr="00D87B72">
        <w:rPr>
          <w:rFonts w:cs="Arial"/>
          <w:bCs/>
          <w:szCs w:val="24"/>
        </w:rPr>
        <w:t xml:space="preserve"> Both the roll out and take up of vaccines has been disappointingly slow in the EU in 2021, at a time when many countries are experiencing a sharp rise in cases which are threatening to overwhelm hospitals in some major countries; this has led to renewed severe restrictions or lockdowns during March. This will inevitably put back economic recovery after the economy had staged a rapid rebound from the first lockdowns in Q3 of 2020 but contracted slightly in Q4 to end 2020 only 4.9% below its pre-pandemic level.  Recovery will now be delayed until Q3 of 2021 and a return to pre-pandemic levels is expected in the second half of 2022.</w:t>
      </w:r>
    </w:p>
    <w:p w14:paraId="5AEBC26E" w14:textId="77777777" w:rsidR="00AB317E" w:rsidRPr="00AB317E" w:rsidRDefault="00AB317E" w:rsidP="00AB317E">
      <w:pPr>
        <w:pStyle w:val="ListParagraph"/>
        <w:rPr>
          <w:rFonts w:cs="Arial"/>
          <w:bCs/>
          <w:szCs w:val="24"/>
        </w:rPr>
      </w:pPr>
    </w:p>
    <w:p w14:paraId="55B6A52E" w14:textId="77777777" w:rsidR="00AB317E" w:rsidRPr="00D87B72" w:rsidRDefault="00AB317E" w:rsidP="00AB317E">
      <w:pPr>
        <w:pStyle w:val="ListParagraph"/>
        <w:tabs>
          <w:tab w:val="left" w:pos="567"/>
        </w:tabs>
        <w:ind w:left="567"/>
        <w:jc w:val="both"/>
        <w:rPr>
          <w:rFonts w:cs="Arial"/>
          <w:bCs/>
          <w:szCs w:val="24"/>
        </w:rPr>
      </w:pPr>
    </w:p>
    <w:p w14:paraId="6FC17B0F" w14:textId="479A5C3C" w:rsidR="00D87B72" w:rsidRDefault="00D87B72" w:rsidP="00D87B72">
      <w:pPr>
        <w:pStyle w:val="ListParagraph"/>
        <w:numPr>
          <w:ilvl w:val="0"/>
          <w:numId w:val="38"/>
        </w:numPr>
        <w:tabs>
          <w:tab w:val="left" w:pos="567"/>
        </w:tabs>
        <w:ind w:left="567" w:hanging="567"/>
        <w:jc w:val="both"/>
        <w:rPr>
          <w:rFonts w:cs="Arial"/>
          <w:bCs/>
          <w:szCs w:val="24"/>
        </w:rPr>
      </w:pPr>
      <w:r w:rsidRPr="00D87B72">
        <w:rPr>
          <w:rFonts w:cs="Arial"/>
          <w:bCs/>
          <w:szCs w:val="24"/>
        </w:rPr>
        <w:lastRenderedPageBreak/>
        <w:t xml:space="preserve">Inflation was well under 2% during 2020/21. </w:t>
      </w:r>
      <w:r w:rsidRPr="00AB317E">
        <w:rPr>
          <w:rFonts w:cs="Arial"/>
          <w:b/>
          <w:szCs w:val="24"/>
        </w:rPr>
        <w:t>The ECB</w:t>
      </w:r>
      <w:r w:rsidRPr="00D87B72">
        <w:rPr>
          <w:rFonts w:cs="Arial"/>
          <w:bCs/>
          <w:szCs w:val="24"/>
        </w:rPr>
        <w:t xml:space="preserve"> did not cut its main rate of -0.5% further into negative territory during 2020/21.  It embarked on a major expansion of its QE operations (PEPP) in March 2020 and added further to that in its December 2020 meeting when it also greatly expanded its programme of providing cheap loans to banks. The total PEPP scheme of €1,850bn is providing protection to the sovereign bond yields of weaker countries like Italy. There is, therefore, </w:t>
      </w:r>
      <w:r w:rsidRPr="00AB317E">
        <w:rPr>
          <w:rFonts w:cs="Arial"/>
          <w:b/>
          <w:szCs w:val="24"/>
        </w:rPr>
        <w:t>unlikely to be a euro crisis</w:t>
      </w:r>
      <w:r w:rsidRPr="00D87B72">
        <w:rPr>
          <w:rFonts w:cs="Arial"/>
          <w:bCs/>
          <w:szCs w:val="24"/>
        </w:rPr>
        <w:t xml:space="preserve"> while the ECB </w:t>
      </w:r>
      <w:proofErr w:type="gramStart"/>
      <w:r w:rsidRPr="00D87B72">
        <w:rPr>
          <w:rFonts w:cs="Arial"/>
          <w:bCs/>
          <w:szCs w:val="24"/>
        </w:rPr>
        <w:t>is able to</w:t>
      </w:r>
      <w:proofErr w:type="gramEnd"/>
      <w:r w:rsidRPr="00D87B72">
        <w:rPr>
          <w:rFonts w:cs="Arial"/>
          <w:bCs/>
          <w:szCs w:val="24"/>
        </w:rPr>
        <w:t xml:space="preserve"> maintain this level of support. </w:t>
      </w:r>
    </w:p>
    <w:p w14:paraId="07D14C09" w14:textId="77777777" w:rsidR="00AB317E" w:rsidRPr="00D87B72" w:rsidRDefault="00AB317E" w:rsidP="00AB317E">
      <w:pPr>
        <w:pStyle w:val="ListParagraph"/>
        <w:tabs>
          <w:tab w:val="left" w:pos="567"/>
        </w:tabs>
        <w:ind w:left="567"/>
        <w:jc w:val="both"/>
        <w:rPr>
          <w:rFonts w:cs="Arial"/>
          <w:bCs/>
          <w:szCs w:val="24"/>
        </w:rPr>
      </w:pPr>
    </w:p>
    <w:p w14:paraId="6C9AEEE0" w14:textId="38450C47" w:rsidR="00D87B72" w:rsidRDefault="00D87B72" w:rsidP="00D87B72">
      <w:pPr>
        <w:pStyle w:val="ListParagraph"/>
        <w:numPr>
          <w:ilvl w:val="0"/>
          <w:numId w:val="38"/>
        </w:numPr>
        <w:tabs>
          <w:tab w:val="left" w:pos="567"/>
        </w:tabs>
        <w:ind w:left="567" w:hanging="567"/>
        <w:jc w:val="both"/>
        <w:rPr>
          <w:rFonts w:cs="Arial"/>
          <w:bCs/>
          <w:szCs w:val="24"/>
        </w:rPr>
      </w:pPr>
      <w:r w:rsidRPr="00AB317E">
        <w:rPr>
          <w:rFonts w:cs="Arial"/>
          <w:b/>
          <w:szCs w:val="24"/>
        </w:rPr>
        <w:t>China.</w:t>
      </w:r>
      <w:r w:rsidRPr="00D87B72">
        <w:rPr>
          <w:rFonts w:cs="Arial"/>
          <w:bCs/>
          <w:szCs w:val="24"/>
        </w:rPr>
        <w:t xml:space="preserve">  After a concerted effort to get on top of the virus outbreak in Q1 of 2020, economic recovery was strong in the rest of the year; this has enabled China to recover </w:t>
      </w:r>
      <w:proofErr w:type="gramStart"/>
      <w:r w:rsidRPr="00D87B72">
        <w:rPr>
          <w:rFonts w:cs="Arial"/>
          <w:bCs/>
          <w:szCs w:val="24"/>
        </w:rPr>
        <w:t>all of</w:t>
      </w:r>
      <w:proofErr w:type="gramEnd"/>
      <w:r w:rsidRPr="00D87B72">
        <w:rPr>
          <w:rFonts w:cs="Arial"/>
          <w:bCs/>
          <w:szCs w:val="24"/>
        </w:rPr>
        <w:t xml:space="preserve"> the contraction in Q1. Policy makers have both quashed the virus and implemented a programme of monetary and fiscal support that has been particularly effective at stimulating short-term growth. </w:t>
      </w:r>
    </w:p>
    <w:p w14:paraId="4BF4D24A" w14:textId="77777777" w:rsidR="00AB317E" w:rsidRPr="00AB317E" w:rsidRDefault="00AB317E" w:rsidP="00AB317E">
      <w:pPr>
        <w:tabs>
          <w:tab w:val="left" w:pos="567"/>
        </w:tabs>
        <w:jc w:val="both"/>
        <w:rPr>
          <w:rFonts w:cs="Arial"/>
          <w:bCs/>
          <w:szCs w:val="24"/>
        </w:rPr>
      </w:pPr>
    </w:p>
    <w:p w14:paraId="0ECAEE1B" w14:textId="164A8205" w:rsidR="00D87B72" w:rsidRDefault="00D87B72" w:rsidP="00D87B72">
      <w:pPr>
        <w:pStyle w:val="ListParagraph"/>
        <w:numPr>
          <w:ilvl w:val="0"/>
          <w:numId w:val="38"/>
        </w:numPr>
        <w:tabs>
          <w:tab w:val="left" w:pos="567"/>
        </w:tabs>
        <w:ind w:left="567" w:hanging="567"/>
        <w:jc w:val="both"/>
        <w:rPr>
          <w:rFonts w:cs="Arial"/>
          <w:bCs/>
          <w:szCs w:val="24"/>
        </w:rPr>
      </w:pPr>
      <w:r w:rsidRPr="00AB317E">
        <w:rPr>
          <w:rFonts w:cs="Arial"/>
          <w:b/>
          <w:szCs w:val="24"/>
        </w:rPr>
        <w:t>Japan.</w:t>
      </w:r>
      <w:r w:rsidRPr="00D87B72">
        <w:rPr>
          <w:rFonts w:cs="Arial"/>
          <w:bCs/>
          <w:szCs w:val="24"/>
        </w:rPr>
        <w:t xml:space="preserve"> Three rounds of government fiscal support in 2020 together with Japan’s relative success in containing the virus without draconian measures so far, and the roll out of vaccines gathering momentum in 2021, should help to ensure a strong recovery in 2021 and to get back to pre-virus levels by Q3.</w:t>
      </w:r>
    </w:p>
    <w:p w14:paraId="436AC3FF" w14:textId="77777777" w:rsidR="00AB317E" w:rsidRPr="00AB317E" w:rsidRDefault="00AB317E" w:rsidP="00AB317E">
      <w:pPr>
        <w:tabs>
          <w:tab w:val="left" w:pos="567"/>
        </w:tabs>
        <w:jc w:val="both"/>
        <w:rPr>
          <w:rFonts w:cs="Arial"/>
          <w:bCs/>
          <w:szCs w:val="24"/>
        </w:rPr>
      </w:pPr>
    </w:p>
    <w:p w14:paraId="1A1D367C" w14:textId="2BAA869A" w:rsidR="00D87B72" w:rsidRDefault="00D87B72" w:rsidP="00D87B72">
      <w:pPr>
        <w:pStyle w:val="ListParagraph"/>
        <w:numPr>
          <w:ilvl w:val="0"/>
          <w:numId w:val="38"/>
        </w:numPr>
        <w:tabs>
          <w:tab w:val="left" w:pos="567"/>
        </w:tabs>
        <w:ind w:left="567" w:hanging="567"/>
        <w:jc w:val="both"/>
        <w:rPr>
          <w:rFonts w:cs="Arial"/>
          <w:bCs/>
          <w:szCs w:val="24"/>
        </w:rPr>
      </w:pPr>
      <w:r w:rsidRPr="00AB317E">
        <w:rPr>
          <w:rFonts w:cs="Arial"/>
          <w:b/>
          <w:szCs w:val="24"/>
        </w:rPr>
        <w:t>World growth.</w:t>
      </w:r>
      <w:r w:rsidRPr="00D87B72">
        <w:rPr>
          <w:rFonts w:cs="Arial"/>
          <w:bCs/>
          <w:szCs w:val="24"/>
        </w:rPr>
        <w:t xml:space="preserve"> World growth was in recession in 2020. Inflation is unlikely to be a problem in most countries for some years due to the creation of excess production capacity and depressed demand caused by the coronavirus crisis.</w:t>
      </w:r>
    </w:p>
    <w:p w14:paraId="47FA805C" w14:textId="77777777" w:rsidR="00AB317E" w:rsidRPr="00AB317E" w:rsidRDefault="00AB317E" w:rsidP="00AB317E">
      <w:pPr>
        <w:tabs>
          <w:tab w:val="left" w:pos="567"/>
        </w:tabs>
        <w:jc w:val="both"/>
        <w:rPr>
          <w:rFonts w:cs="Arial"/>
          <w:bCs/>
          <w:szCs w:val="24"/>
        </w:rPr>
      </w:pPr>
    </w:p>
    <w:p w14:paraId="6DC0011F" w14:textId="4E39607A" w:rsidR="00D87B72" w:rsidRDefault="00D87B72" w:rsidP="00D87B72">
      <w:pPr>
        <w:pStyle w:val="ListParagraph"/>
        <w:numPr>
          <w:ilvl w:val="0"/>
          <w:numId w:val="38"/>
        </w:numPr>
        <w:tabs>
          <w:tab w:val="left" w:pos="567"/>
        </w:tabs>
        <w:ind w:left="567" w:hanging="567"/>
        <w:jc w:val="both"/>
        <w:rPr>
          <w:rFonts w:cs="Arial"/>
          <w:bCs/>
          <w:szCs w:val="24"/>
        </w:rPr>
      </w:pPr>
      <w:r w:rsidRPr="00AB317E">
        <w:rPr>
          <w:rFonts w:cs="Arial"/>
          <w:b/>
          <w:szCs w:val="24"/>
        </w:rPr>
        <w:t>Deglobalisation.</w:t>
      </w:r>
      <w:r w:rsidRPr="00D87B72">
        <w:rPr>
          <w:rFonts w:cs="Arial"/>
          <w:bCs/>
          <w:szCs w:val="24"/>
        </w:rPr>
        <w:t xml:space="preserve"> Until recent years, world growth has been boosted by increasing globalisation i.e. countries specialising in producing goods and commodities in which they have an economic advantage and which they then trade with the rest of the world. This has boosted worldwide productivity and growth, and, by lowering costs, has also depressed inflation. However, the rise of China as an economic superpower over the last 30 years, which now accounts for nearly 20% of total world GDP, has unbalanced the world economy. In March 2021, western democracies implemented limited sanctions against a few officials in charge of government policy on the Uighurs in Xinjiang; this led to a much bigger retaliation by China and is likely to mean that the China / EU investment deal then being negotiated, will be torn up. After the pandemic exposed how frail extended supply lines were around the world, both factors are now likely to lead to a sharp retrenchment of economies into two blocs of western democracies v. autocracies. It is, therefore, likely that we are heading into a period where there will be a reversal of world globalisation and a decoupling of western countries from dependence on China to supply products and vice versa. This is likely to reduce world growth rates.</w:t>
      </w:r>
    </w:p>
    <w:p w14:paraId="0A36F580" w14:textId="77777777" w:rsidR="00AB317E" w:rsidRPr="00D87B72" w:rsidRDefault="00AB317E" w:rsidP="00AB317E">
      <w:pPr>
        <w:pStyle w:val="ListParagraph"/>
        <w:tabs>
          <w:tab w:val="left" w:pos="567"/>
        </w:tabs>
        <w:ind w:left="567"/>
        <w:jc w:val="both"/>
        <w:rPr>
          <w:rFonts w:cs="Arial"/>
          <w:bCs/>
          <w:szCs w:val="24"/>
        </w:rPr>
      </w:pPr>
    </w:p>
    <w:p w14:paraId="22E03D26" w14:textId="1A5D601B" w:rsidR="00D87B72" w:rsidRDefault="00D87B72" w:rsidP="00D87B72">
      <w:pPr>
        <w:pStyle w:val="ListParagraph"/>
        <w:numPr>
          <w:ilvl w:val="0"/>
          <w:numId w:val="38"/>
        </w:numPr>
        <w:tabs>
          <w:tab w:val="left" w:pos="567"/>
        </w:tabs>
        <w:ind w:left="567" w:hanging="567"/>
        <w:jc w:val="both"/>
        <w:rPr>
          <w:rFonts w:cs="Arial"/>
          <w:bCs/>
          <w:szCs w:val="24"/>
        </w:rPr>
      </w:pPr>
      <w:r w:rsidRPr="00AB317E">
        <w:rPr>
          <w:rFonts w:cs="Arial"/>
          <w:b/>
          <w:szCs w:val="24"/>
        </w:rPr>
        <w:t>Central banks’ monetary policy.</w:t>
      </w:r>
      <w:r w:rsidRPr="00D87B72">
        <w:rPr>
          <w:rFonts w:cs="Arial"/>
          <w:bCs/>
          <w:szCs w:val="24"/>
        </w:rPr>
        <w:t xml:space="preserve"> During the pandemic, the governments of western countries have provided massive fiscal support to their economies which has resulted in a big increase in total government debt in each country. It is therefore very important that bond yields stay low while debt to GDP ratios slowly subside under the impact of economic growth. This provides governments with a good reason to amend the mandates given to central banks to allow higher average levels of inflation than we have generally seen over the last couple of decades. Both the Fed and Bank of England have already changed their policy towards implementing their existing mandates on inflation, (and full employment), to hitting an average level of inflation. Greater emphasis could also be placed on hitting subsidiary targets e.g. full employment before raising rates. Higher average </w:t>
      </w:r>
      <w:r w:rsidRPr="00D87B72">
        <w:rPr>
          <w:rFonts w:cs="Arial"/>
          <w:bCs/>
          <w:szCs w:val="24"/>
        </w:rPr>
        <w:lastRenderedPageBreak/>
        <w:t>rates of inflation would also help to erode the real value of government debt more quickly.</w:t>
      </w:r>
      <w:bookmarkEnd w:id="3"/>
      <w:bookmarkEnd w:id="4"/>
      <w:bookmarkEnd w:id="5"/>
      <w:bookmarkEnd w:id="6"/>
    </w:p>
    <w:p w14:paraId="0A4E4F7E" w14:textId="77777777" w:rsidR="003E367E" w:rsidRPr="003E367E" w:rsidRDefault="003E367E" w:rsidP="003E367E">
      <w:pPr>
        <w:pStyle w:val="ListParagraph"/>
        <w:rPr>
          <w:rFonts w:cs="Arial"/>
          <w:bCs/>
          <w:szCs w:val="24"/>
        </w:rPr>
      </w:pPr>
    </w:p>
    <w:p w14:paraId="0B3CB697" w14:textId="7908712D" w:rsidR="003E367E" w:rsidRDefault="003E367E" w:rsidP="00D87B72">
      <w:pPr>
        <w:pStyle w:val="ListParagraph"/>
        <w:numPr>
          <w:ilvl w:val="0"/>
          <w:numId w:val="38"/>
        </w:numPr>
        <w:tabs>
          <w:tab w:val="left" w:pos="567"/>
        </w:tabs>
        <w:ind w:left="567" w:hanging="567"/>
        <w:jc w:val="both"/>
        <w:rPr>
          <w:rFonts w:cs="Arial"/>
          <w:bCs/>
          <w:szCs w:val="24"/>
        </w:rPr>
      </w:pPr>
      <w:r>
        <w:rPr>
          <w:rFonts w:cs="Arial"/>
          <w:bCs/>
          <w:szCs w:val="24"/>
        </w:rPr>
        <w:t>Link Group’s Interest Rate Strategy Group (IRSG) formulate their interest rate forecast and update clients to changes throughout the year.  The forecast at the time of the approval of the 2020/21 TMSS was:</w:t>
      </w:r>
    </w:p>
    <w:p w14:paraId="519B150A" w14:textId="7D314C39" w:rsidR="003E367E" w:rsidRDefault="003E367E" w:rsidP="003E367E">
      <w:pPr>
        <w:ind w:left="567"/>
        <w:rPr>
          <w:rFonts w:cs="Arial"/>
          <w:bCs/>
          <w:szCs w:val="24"/>
        </w:rPr>
      </w:pPr>
    </w:p>
    <w:p w14:paraId="67462555" w14:textId="5AF876D5" w:rsidR="003E367E" w:rsidRPr="00C13B1E" w:rsidRDefault="003E367E" w:rsidP="003E367E">
      <w:pPr>
        <w:ind w:left="567"/>
        <w:rPr>
          <w:rFonts w:cs="Arial"/>
          <w:bCs/>
          <w:sz w:val="22"/>
          <w:szCs w:val="22"/>
        </w:rPr>
      </w:pPr>
      <w:r w:rsidRPr="00C13B1E">
        <w:rPr>
          <w:rFonts w:cs="Arial"/>
          <w:bCs/>
          <w:sz w:val="22"/>
          <w:szCs w:val="22"/>
        </w:rPr>
        <w:t>Link Group Interest Rate Forecast: 31/01/20</w:t>
      </w:r>
    </w:p>
    <w:p w14:paraId="23AA26B1" w14:textId="52045604" w:rsidR="003E367E" w:rsidRDefault="003E367E" w:rsidP="00C13B1E">
      <w:pPr>
        <w:pStyle w:val="ListParagraph"/>
        <w:tabs>
          <w:tab w:val="left" w:pos="567"/>
        </w:tabs>
        <w:ind w:left="567"/>
        <w:jc w:val="both"/>
        <w:rPr>
          <w:rFonts w:cs="Arial"/>
          <w:bCs/>
          <w:szCs w:val="24"/>
        </w:rPr>
      </w:pPr>
      <w:r>
        <w:rPr>
          <w:rFonts w:ascii="Calibri" w:hAnsi="Calibri"/>
          <w:noProof/>
          <w:lang w:eastAsia="en-GB"/>
        </w:rPr>
        <w:drawing>
          <wp:inline distT="0" distB="0" distL="0" distR="0" wp14:anchorId="0B64C91F" wp14:editId="302814FF">
            <wp:extent cx="5850890" cy="1468337"/>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0890" cy="1468337"/>
                    </a:xfrm>
                    <a:prstGeom prst="rect">
                      <a:avLst/>
                    </a:prstGeom>
                    <a:noFill/>
                  </pic:spPr>
                </pic:pic>
              </a:graphicData>
            </a:graphic>
          </wp:inline>
        </w:drawing>
      </w:r>
    </w:p>
    <w:p w14:paraId="41C83436" w14:textId="77777777" w:rsidR="003E367E" w:rsidRPr="003E367E" w:rsidRDefault="003E367E" w:rsidP="003E367E">
      <w:pPr>
        <w:pStyle w:val="ListParagraph"/>
        <w:rPr>
          <w:rFonts w:cs="Arial"/>
          <w:bCs/>
          <w:szCs w:val="24"/>
        </w:rPr>
      </w:pPr>
    </w:p>
    <w:p w14:paraId="25520B79" w14:textId="6F1D8F3E" w:rsidR="00C13B1E" w:rsidRDefault="00C13B1E" w:rsidP="00C13B1E">
      <w:pPr>
        <w:pStyle w:val="ListParagraph"/>
        <w:numPr>
          <w:ilvl w:val="0"/>
          <w:numId w:val="38"/>
        </w:numPr>
        <w:tabs>
          <w:tab w:val="left" w:pos="567"/>
        </w:tabs>
        <w:ind w:left="567" w:hanging="567"/>
        <w:jc w:val="both"/>
        <w:rPr>
          <w:rFonts w:cs="Arial"/>
          <w:bCs/>
          <w:szCs w:val="24"/>
        </w:rPr>
      </w:pPr>
      <w:r>
        <w:rPr>
          <w:rFonts w:cs="Arial"/>
          <w:bCs/>
          <w:szCs w:val="24"/>
        </w:rPr>
        <w:t>During 2020/21 the interest rate forecast was updated to reflect the changing economic environment.  The latest update in 2020/21 was:</w:t>
      </w:r>
    </w:p>
    <w:p w14:paraId="68A25385" w14:textId="58501815" w:rsidR="00C13B1E" w:rsidRDefault="00C13B1E" w:rsidP="00C13B1E">
      <w:pPr>
        <w:tabs>
          <w:tab w:val="left" w:pos="567"/>
        </w:tabs>
        <w:jc w:val="both"/>
        <w:rPr>
          <w:rFonts w:cs="Arial"/>
          <w:bCs/>
          <w:szCs w:val="24"/>
        </w:rPr>
      </w:pPr>
    </w:p>
    <w:p w14:paraId="1DCFD49E" w14:textId="650B80E8" w:rsidR="00C13B1E" w:rsidRPr="00C13B1E" w:rsidRDefault="00C13B1E" w:rsidP="00C13B1E">
      <w:pPr>
        <w:ind w:left="567"/>
        <w:rPr>
          <w:rFonts w:cs="Arial"/>
          <w:bCs/>
          <w:sz w:val="22"/>
          <w:szCs w:val="22"/>
        </w:rPr>
      </w:pPr>
      <w:r w:rsidRPr="00C13B1E">
        <w:rPr>
          <w:rFonts w:cs="Arial"/>
          <w:bCs/>
          <w:sz w:val="22"/>
          <w:szCs w:val="22"/>
        </w:rPr>
        <w:t xml:space="preserve">Link Group Interest Rate Forecast: </w:t>
      </w:r>
      <w:r>
        <w:rPr>
          <w:rFonts w:cs="Arial"/>
          <w:bCs/>
          <w:sz w:val="22"/>
          <w:szCs w:val="22"/>
        </w:rPr>
        <w:t>08/03</w:t>
      </w:r>
      <w:r w:rsidRPr="00C13B1E">
        <w:rPr>
          <w:rFonts w:cs="Arial"/>
          <w:bCs/>
          <w:sz w:val="22"/>
          <w:szCs w:val="22"/>
        </w:rPr>
        <w:t>/2</w:t>
      </w:r>
      <w:r>
        <w:rPr>
          <w:rFonts w:cs="Arial"/>
          <w:bCs/>
          <w:sz w:val="22"/>
          <w:szCs w:val="22"/>
        </w:rPr>
        <w:t>1</w:t>
      </w:r>
    </w:p>
    <w:p w14:paraId="1CA0FE57" w14:textId="28B38280" w:rsidR="00C13B1E" w:rsidRPr="00C13B1E" w:rsidRDefault="00C13B1E" w:rsidP="00C13B1E">
      <w:pPr>
        <w:tabs>
          <w:tab w:val="left" w:pos="567"/>
        </w:tabs>
        <w:ind w:left="567"/>
        <w:jc w:val="both"/>
        <w:rPr>
          <w:rFonts w:cs="Arial"/>
          <w:bCs/>
          <w:szCs w:val="24"/>
        </w:rPr>
      </w:pPr>
      <w:r w:rsidRPr="000B5D79">
        <w:rPr>
          <w:noProof/>
          <w:lang w:eastAsia="en-GB"/>
        </w:rPr>
        <w:drawing>
          <wp:inline distT="0" distB="0" distL="0" distR="0" wp14:anchorId="09A235D5" wp14:editId="2CDB173F">
            <wp:extent cx="5850890" cy="1674456"/>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0890" cy="1674456"/>
                    </a:xfrm>
                    <a:prstGeom prst="rect">
                      <a:avLst/>
                    </a:prstGeom>
                    <a:noFill/>
                    <a:ln>
                      <a:noFill/>
                    </a:ln>
                  </pic:spPr>
                </pic:pic>
              </a:graphicData>
            </a:graphic>
          </wp:inline>
        </w:drawing>
      </w:r>
    </w:p>
    <w:p w14:paraId="37643916" w14:textId="4BC17925" w:rsidR="00D87B72" w:rsidRDefault="00D87B72" w:rsidP="00D87B72">
      <w:pPr>
        <w:autoSpaceDE w:val="0"/>
        <w:autoSpaceDN w:val="0"/>
        <w:adjustRightInd w:val="0"/>
        <w:spacing w:before="120" w:after="120"/>
        <w:ind w:left="11"/>
        <w:jc w:val="both"/>
        <w:rPr>
          <w:rFonts w:ascii="Calibri" w:hAnsi="Calibri" w:cs="Arial"/>
          <w:color w:val="0D0D0D" w:themeColor="text1" w:themeTint="F2"/>
          <w:sz w:val="36"/>
          <w:szCs w:val="36"/>
        </w:rPr>
      </w:pPr>
    </w:p>
    <w:p w14:paraId="58516E5C" w14:textId="4703AB2B" w:rsidR="00D87B72" w:rsidRDefault="00D87B72" w:rsidP="00D87B72">
      <w:pPr>
        <w:autoSpaceDE w:val="0"/>
        <w:autoSpaceDN w:val="0"/>
        <w:adjustRightInd w:val="0"/>
        <w:spacing w:before="120" w:after="120"/>
        <w:ind w:left="11"/>
        <w:jc w:val="both"/>
        <w:rPr>
          <w:rFonts w:ascii="Calibri" w:hAnsi="Calibri" w:cs="Arial"/>
          <w:color w:val="0D0D0D" w:themeColor="text1" w:themeTint="F2"/>
          <w:sz w:val="36"/>
          <w:szCs w:val="36"/>
        </w:rPr>
      </w:pPr>
    </w:p>
    <w:p w14:paraId="72CA721A" w14:textId="5B883559" w:rsidR="00D87B72" w:rsidRDefault="00D87B72" w:rsidP="00D87B72">
      <w:pPr>
        <w:autoSpaceDE w:val="0"/>
        <w:autoSpaceDN w:val="0"/>
        <w:adjustRightInd w:val="0"/>
        <w:spacing w:before="120" w:after="120"/>
        <w:ind w:left="11"/>
        <w:jc w:val="both"/>
        <w:rPr>
          <w:rFonts w:ascii="Calibri" w:hAnsi="Calibri" w:cs="Arial"/>
          <w:color w:val="0D0D0D" w:themeColor="text1" w:themeTint="F2"/>
          <w:sz w:val="36"/>
          <w:szCs w:val="36"/>
        </w:rPr>
      </w:pPr>
    </w:p>
    <w:p w14:paraId="1373725F" w14:textId="4EF77496" w:rsidR="00D87B72" w:rsidRDefault="00D87B72" w:rsidP="00D87B72">
      <w:pPr>
        <w:autoSpaceDE w:val="0"/>
        <w:autoSpaceDN w:val="0"/>
        <w:adjustRightInd w:val="0"/>
        <w:spacing w:before="120" w:after="120"/>
        <w:ind w:left="11"/>
        <w:jc w:val="both"/>
        <w:rPr>
          <w:rFonts w:ascii="Calibri" w:hAnsi="Calibri" w:cs="Arial"/>
          <w:color w:val="0D0D0D" w:themeColor="text1" w:themeTint="F2"/>
          <w:sz w:val="36"/>
          <w:szCs w:val="36"/>
        </w:rPr>
      </w:pPr>
    </w:p>
    <w:p w14:paraId="064082AD" w14:textId="73E1D4B3" w:rsidR="00D87B72" w:rsidRDefault="00D87B72" w:rsidP="00D87B72">
      <w:pPr>
        <w:autoSpaceDE w:val="0"/>
        <w:autoSpaceDN w:val="0"/>
        <w:adjustRightInd w:val="0"/>
        <w:spacing w:before="120" w:after="120"/>
        <w:ind w:left="11"/>
        <w:jc w:val="both"/>
        <w:rPr>
          <w:rFonts w:ascii="Calibri" w:hAnsi="Calibri" w:cs="Arial"/>
          <w:color w:val="0D0D0D" w:themeColor="text1" w:themeTint="F2"/>
          <w:sz w:val="36"/>
          <w:szCs w:val="36"/>
        </w:rPr>
      </w:pPr>
    </w:p>
    <w:p w14:paraId="39A9DD86" w14:textId="44A43951" w:rsidR="00D87B72" w:rsidRDefault="00D87B72" w:rsidP="00D87B72">
      <w:pPr>
        <w:autoSpaceDE w:val="0"/>
        <w:autoSpaceDN w:val="0"/>
        <w:adjustRightInd w:val="0"/>
        <w:spacing w:before="120" w:after="120"/>
        <w:ind w:left="11"/>
        <w:jc w:val="both"/>
        <w:rPr>
          <w:rFonts w:ascii="Calibri" w:hAnsi="Calibri" w:cs="Arial"/>
          <w:color w:val="0D0D0D" w:themeColor="text1" w:themeTint="F2"/>
          <w:sz w:val="36"/>
          <w:szCs w:val="36"/>
        </w:rPr>
      </w:pPr>
    </w:p>
    <w:p w14:paraId="6B37B7E2" w14:textId="539642AD" w:rsidR="00D87B72" w:rsidRDefault="00D87B72" w:rsidP="00D87B72">
      <w:pPr>
        <w:autoSpaceDE w:val="0"/>
        <w:autoSpaceDN w:val="0"/>
        <w:adjustRightInd w:val="0"/>
        <w:spacing w:before="120" w:after="120"/>
        <w:ind w:left="11"/>
        <w:jc w:val="both"/>
        <w:rPr>
          <w:rFonts w:ascii="Calibri" w:hAnsi="Calibri" w:cs="Arial"/>
          <w:color w:val="0D0D0D" w:themeColor="text1" w:themeTint="F2"/>
          <w:sz w:val="36"/>
          <w:szCs w:val="36"/>
        </w:rPr>
      </w:pPr>
    </w:p>
    <w:p w14:paraId="4688BE24" w14:textId="06F33603" w:rsidR="00D87B72" w:rsidRDefault="00D87B72" w:rsidP="00D87B72">
      <w:pPr>
        <w:autoSpaceDE w:val="0"/>
        <w:autoSpaceDN w:val="0"/>
        <w:adjustRightInd w:val="0"/>
        <w:spacing w:before="120" w:after="120"/>
        <w:ind w:left="11"/>
        <w:jc w:val="both"/>
        <w:rPr>
          <w:rFonts w:ascii="Calibri" w:hAnsi="Calibri" w:cs="Arial"/>
          <w:color w:val="0D0D0D" w:themeColor="text1" w:themeTint="F2"/>
          <w:sz w:val="36"/>
          <w:szCs w:val="36"/>
        </w:rPr>
      </w:pPr>
    </w:p>
    <w:p w14:paraId="3B6BB6C8" w14:textId="2E4FD825" w:rsidR="00D87B72" w:rsidRDefault="00D87B72" w:rsidP="00D87B72">
      <w:pPr>
        <w:autoSpaceDE w:val="0"/>
        <w:autoSpaceDN w:val="0"/>
        <w:adjustRightInd w:val="0"/>
        <w:spacing w:before="120" w:after="120"/>
        <w:ind w:left="11"/>
        <w:jc w:val="both"/>
        <w:rPr>
          <w:rFonts w:ascii="Calibri" w:hAnsi="Calibri" w:cs="Arial"/>
          <w:color w:val="0D0D0D" w:themeColor="text1" w:themeTint="F2"/>
          <w:sz w:val="36"/>
          <w:szCs w:val="36"/>
        </w:rPr>
      </w:pPr>
    </w:p>
    <w:p w14:paraId="296BE1FF" w14:textId="77777777" w:rsidR="00507F19" w:rsidRDefault="00507F19" w:rsidP="00D87B72">
      <w:pPr>
        <w:spacing w:after="240"/>
        <w:contextualSpacing/>
        <w:jc w:val="both"/>
        <w:outlineLvl w:val="1"/>
        <w:rPr>
          <w:rFonts w:cs="Arial"/>
          <w:b/>
          <w:color w:val="0D0D0D" w:themeColor="text1" w:themeTint="F2"/>
          <w:sz w:val="28"/>
          <w:szCs w:val="28"/>
        </w:rPr>
      </w:pPr>
    </w:p>
    <w:p w14:paraId="15DA8CAD" w14:textId="77777777" w:rsidR="00507F19" w:rsidRDefault="00507F19" w:rsidP="00D87B72">
      <w:pPr>
        <w:spacing w:after="240"/>
        <w:contextualSpacing/>
        <w:jc w:val="both"/>
        <w:outlineLvl w:val="1"/>
        <w:rPr>
          <w:rFonts w:cs="Arial"/>
          <w:b/>
          <w:color w:val="0D0D0D" w:themeColor="text1" w:themeTint="F2"/>
          <w:sz w:val="28"/>
          <w:szCs w:val="28"/>
        </w:rPr>
      </w:pPr>
    </w:p>
    <w:p w14:paraId="293FD48D" w14:textId="77777777" w:rsidR="00507F19" w:rsidRDefault="00507F19" w:rsidP="00D87B72">
      <w:pPr>
        <w:spacing w:after="240"/>
        <w:contextualSpacing/>
        <w:jc w:val="both"/>
        <w:outlineLvl w:val="1"/>
        <w:rPr>
          <w:rFonts w:cs="Arial"/>
          <w:b/>
          <w:color w:val="0D0D0D" w:themeColor="text1" w:themeTint="F2"/>
          <w:sz w:val="28"/>
          <w:szCs w:val="28"/>
        </w:rPr>
      </w:pPr>
    </w:p>
    <w:p w14:paraId="7CAEFDD9" w14:textId="7C53786C" w:rsidR="001F3457" w:rsidRDefault="00D87B72" w:rsidP="00D87B72">
      <w:pPr>
        <w:spacing w:after="240"/>
        <w:contextualSpacing/>
        <w:jc w:val="both"/>
        <w:outlineLvl w:val="1"/>
        <w:rPr>
          <w:rFonts w:cs="Arial"/>
          <w:b/>
          <w:color w:val="0D0D0D" w:themeColor="text1" w:themeTint="F2"/>
          <w:sz w:val="28"/>
          <w:szCs w:val="28"/>
        </w:rPr>
      </w:pPr>
      <w:r>
        <w:rPr>
          <w:rFonts w:cs="Arial"/>
          <w:b/>
          <w:color w:val="0D0D0D" w:themeColor="text1" w:themeTint="F2"/>
          <w:sz w:val="28"/>
          <w:szCs w:val="28"/>
        </w:rPr>
        <w:lastRenderedPageBreak/>
        <w:t xml:space="preserve">Appendix 2 </w:t>
      </w:r>
      <w:r w:rsidR="001F3457">
        <w:rPr>
          <w:rFonts w:cs="Arial"/>
          <w:b/>
          <w:color w:val="0D0D0D" w:themeColor="text1" w:themeTint="F2"/>
          <w:sz w:val="28"/>
          <w:szCs w:val="28"/>
        </w:rPr>
        <w:t>Borrowing and Investment Rate Summary 2020/21</w:t>
      </w:r>
    </w:p>
    <w:p w14:paraId="12FF3DFD" w14:textId="77777777" w:rsidR="001F3457" w:rsidRDefault="001F3457" w:rsidP="001F3457">
      <w:pPr>
        <w:contextualSpacing/>
        <w:rPr>
          <w:rFonts w:cs="Arial"/>
          <w:b/>
          <w:color w:val="0D0D0D" w:themeColor="text1" w:themeTint="F2"/>
          <w:sz w:val="28"/>
          <w:szCs w:val="28"/>
        </w:rPr>
      </w:pPr>
    </w:p>
    <w:p w14:paraId="6CA82354" w14:textId="604D5D40" w:rsidR="001F3457" w:rsidRPr="001F3457" w:rsidRDefault="001F3457" w:rsidP="001F3457">
      <w:pPr>
        <w:contextualSpacing/>
        <w:rPr>
          <w:rFonts w:cs="Arial"/>
          <w:b/>
          <w:color w:val="0D0D0D" w:themeColor="text1" w:themeTint="F2"/>
          <w:sz w:val="28"/>
          <w:szCs w:val="28"/>
        </w:rPr>
      </w:pPr>
      <w:r w:rsidRPr="001F3457">
        <w:rPr>
          <w:rFonts w:cs="Arial"/>
          <w:b/>
          <w:color w:val="0D0D0D" w:themeColor="text1" w:themeTint="F2"/>
          <w:sz w:val="28"/>
          <w:szCs w:val="28"/>
        </w:rPr>
        <w:t>PWLB borrowing rates</w:t>
      </w:r>
    </w:p>
    <w:p w14:paraId="096043D5" w14:textId="77777777" w:rsidR="001F3457" w:rsidRPr="002D4A76" w:rsidRDefault="001F3457" w:rsidP="001F3457">
      <w:pPr>
        <w:rPr>
          <w:rFonts w:ascii="Calibri" w:hAnsi="Calibri" w:cs="Arial"/>
          <w:b/>
          <w:color w:val="0D0D0D" w:themeColor="text1" w:themeTint="F2"/>
        </w:rPr>
      </w:pPr>
    </w:p>
    <w:p w14:paraId="4D16EEA9" w14:textId="77777777" w:rsidR="001F3457" w:rsidRPr="00A0721D" w:rsidRDefault="001F3457" w:rsidP="001F3457">
      <w:pPr>
        <w:rPr>
          <w:rFonts w:ascii="Calibri" w:hAnsi="Calibri" w:cs="Arial"/>
          <w:b/>
          <w:color w:val="0D0D0D" w:themeColor="text1" w:themeTint="F2"/>
          <w:sz w:val="28"/>
          <w:szCs w:val="28"/>
        </w:rPr>
      </w:pPr>
      <w:r>
        <w:rPr>
          <w:rFonts w:ascii="Calibri" w:hAnsi="Calibri" w:cs="Arial"/>
          <w:b/>
          <w:noProof/>
          <w:color w:val="0D0D0D" w:themeColor="text1" w:themeTint="F2"/>
          <w:sz w:val="28"/>
          <w:szCs w:val="28"/>
          <w:lang w:eastAsia="en-GB"/>
        </w:rPr>
        <w:drawing>
          <wp:inline distT="0" distB="0" distL="0" distR="0" wp14:anchorId="27DD1253" wp14:editId="6714B845">
            <wp:extent cx="5858510" cy="3383280"/>
            <wp:effectExtent l="0" t="0" r="0" b="0"/>
            <wp:docPr id="32" name="Picture 3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8510" cy="3383280"/>
                    </a:xfrm>
                    <a:prstGeom prst="rect">
                      <a:avLst/>
                    </a:prstGeom>
                    <a:noFill/>
                  </pic:spPr>
                </pic:pic>
              </a:graphicData>
            </a:graphic>
          </wp:inline>
        </w:drawing>
      </w:r>
    </w:p>
    <w:tbl>
      <w:tblPr>
        <w:tblW w:w="8985" w:type="dxa"/>
        <w:tblInd w:w="118" w:type="dxa"/>
        <w:tblLook w:val="04A0" w:firstRow="1" w:lastRow="0" w:firstColumn="1" w:lastColumn="0" w:noHBand="0" w:noVBand="1"/>
      </w:tblPr>
      <w:tblGrid>
        <w:gridCol w:w="2050"/>
        <w:gridCol w:w="1387"/>
        <w:gridCol w:w="1387"/>
        <w:gridCol w:w="1387"/>
        <w:gridCol w:w="1387"/>
        <w:gridCol w:w="1387"/>
      </w:tblGrid>
      <w:tr w:rsidR="001F3457" w:rsidRPr="003C0682" w14:paraId="0B968A26" w14:textId="77777777" w:rsidTr="00DD61A7">
        <w:trPr>
          <w:trHeight w:val="297"/>
        </w:trPr>
        <w:tc>
          <w:tcPr>
            <w:tcW w:w="2050" w:type="dxa"/>
            <w:tcBorders>
              <w:top w:val="single" w:sz="8" w:space="0" w:color="auto"/>
              <w:left w:val="single" w:sz="8" w:space="0" w:color="auto"/>
              <w:bottom w:val="single" w:sz="8" w:space="0" w:color="auto"/>
              <w:right w:val="nil"/>
            </w:tcBorders>
            <w:shd w:val="clear" w:color="000000" w:fill="2D2D59"/>
            <w:vAlign w:val="center"/>
            <w:hideMark/>
          </w:tcPr>
          <w:p w14:paraId="03CEB0A6" w14:textId="77777777" w:rsidR="001F3457" w:rsidRPr="003C0682" w:rsidRDefault="001F3457" w:rsidP="00DD61A7">
            <w:pPr>
              <w:rPr>
                <w:rFonts w:cs="Arial"/>
                <w:b/>
                <w:bCs/>
                <w:color w:val="FFFFFF"/>
                <w:sz w:val="22"/>
                <w:szCs w:val="18"/>
                <w:lang w:eastAsia="en-GB"/>
              </w:rPr>
            </w:pPr>
            <w:bookmarkStart w:id="8" w:name="_Hlk60983711"/>
            <w:r w:rsidRPr="003C0682">
              <w:rPr>
                <w:rFonts w:cs="Arial"/>
                <w:b/>
                <w:bCs/>
                <w:color w:val="FFFFFF"/>
                <w:sz w:val="22"/>
                <w:szCs w:val="18"/>
                <w:lang w:eastAsia="en-GB"/>
              </w:rPr>
              <w:t> </w:t>
            </w:r>
          </w:p>
        </w:tc>
        <w:tc>
          <w:tcPr>
            <w:tcW w:w="1387" w:type="dxa"/>
            <w:tcBorders>
              <w:top w:val="single" w:sz="8" w:space="0" w:color="auto"/>
              <w:left w:val="single" w:sz="8" w:space="0" w:color="auto"/>
              <w:bottom w:val="single" w:sz="4" w:space="0" w:color="auto"/>
              <w:right w:val="single" w:sz="8" w:space="0" w:color="auto"/>
            </w:tcBorders>
            <w:shd w:val="clear" w:color="008080" w:fill="2C2D59"/>
            <w:noWrap/>
            <w:vAlign w:val="bottom"/>
            <w:hideMark/>
          </w:tcPr>
          <w:p w14:paraId="2B5B8F52" w14:textId="77777777" w:rsidR="001F3457" w:rsidRPr="003C0682" w:rsidRDefault="001F3457" w:rsidP="00DD61A7">
            <w:pPr>
              <w:jc w:val="center"/>
              <w:rPr>
                <w:rFonts w:cs="Arial"/>
                <w:color w:val="FFFFFF"/>
                <w:sz w:val="22"/>
                <w:szCs w:val="18"/>
                <w:lang w:eastAsia="en-GB"/>
              </w:rPr>
            </w:pPr>
            <w:r w:rsidRPr="003C0682">
              <w:rPr>
                <w:rFonts w:cs="Arial"/>
                <w:color w:val="FFFFFF"/>
                <w:sz w:val="22"/>
                <w:szCs w:val="18"/>
                <w:lang w:eastAsia="en-GB"/>
              </w:rPr>
              <w:t>1 Year</w:t>
            </w:r>
          </w:p>
        </w:tc>
        <w:tc>
          <w:tcPr>
            <w:tcW w:w="1387" w:type="dxa"/>
            <w:tcBorders>
              <w:top w:val="single" w:sz="8" w:space="0" w:color="auto"/>
              <w:left w:val="nil"/>
              <w:bottom w:val="single" w:sz="4" w:space="0" w:color="auto"/>
              <w:right w:val="nil"/>
            </w:tcBorders>
            <w:shd w:val="clear" w:color="008080" w:fill="2C2D59"/>
            <w:noWrap/>
            <w:vAlign w:val="bottom"/>
            <w:hideMark/>
          </w:tcPr>
          <w:p w14:paraId="72960D69" w14:textId="77777777" w:rsidR="001F3457" w:rsidRPr="003C0682" w:rsidRDefault="001F3457" w:rsidP="00DD61A7">
            <w:pPr>
              <w:jc w:val="center"/>
              <w:rPr>
                <w:rFonts w:cs="Arial"/>
                <w:color w:val="FFFFFF"/>
                <w:sz w:val="22"/>
                <w:szCs w:val="18"/>
                <w:lang w:eastAsia="en-GB"/>
              </w:rPr>
            </w:pPr>
            <w:r w:rsidRPr="003C0682">
              <w:rPr>
                <w:rFonts w:cs="Arial"/>
                <w:color w:val="FFFFFF"/>
                <w:sz w:val="22"/>
                <w:szCs w:val="18"/>
                <w:lang w:eastAsia="en-GB"/>
              </w:rPr>
              <w:t>5 Year</w:t>
            </w:r>
          </w:p>
        </w:tc>
        <w:tc>
          <w:tcPr>
            <w:tcW w:w="1387" w:type="dxa"/>
            <w:tcBorders>
              <w:top w:val="single" w:sz="8" w:space="0" w:color="auto"/>
              <w:left w:val="single" w:sz="8" w:space="0" w:color="auto"/>
              <w:bottom w:val="single" w:sz="4" w:space="0" w:color="auto"/>
              <w:right w:val="single" w:sz="8" w:space="0" w:color="auto"/>
            </w:tcBorders>
            <w:shd w:val="clear" w:color="008080" w:fill="2C2D59"/>
            <w:noWrap/>
            <w:vAlign w:val="bottom"/>
            <w:hideMark/>
          </w:tcPr>
          <w:p w14:paraId="018D6012" w14:textId="77777777" w:rsidR="001F3457" w:rsidRPr="003C0682" w:rsidRDefault="001F3457" w:rsidP="00DD61A7">
            <w:pPr>
              <w:jc w:val="center"/>
              <w:rPr>
                <w:rFonts w:cs="Arial"/>
                <w:color w:val="FFFFFF"/>
                <w:sz w:val="22"/>
                <w:szCs w:val="18"/>
                <w:lang w:eastAsia="en-GB"/>
              </w:rPr>
            </w:pPr>
            <w:r w:rsidRPr="003C0682">
              <w:rPr>
                <w:rFonts w:cs="Arial"/>
                <w:color w:val="FFFFFF"/>
                <w:sz w:val="22"/>
                <w:szCs w:val="18"/>
                <w:lang w:eastAsia="en-GB"/>
              </w:rPr>
              <w:t>10 Year</w:t>
            </w:r>
          </w:p>
        </w:tc>
        <w:tc>
          <w:tcPr>
            <w:tcW w:w="1387" w:type="dxa"/>
            <w:tcBorders>
              <w:top w:val="single" w:sz="8" w:space="0" w:color="auto"/>
              <w:left w:val="nil"/>
              <w:bottom w:val="single" w:sz="4" w:space="0" w:color="auto"/>
              <w:right w:val="nil"/>
            </w:tcBorders>
            <w:shd w:val="clear" w:color="008080" w:fill="2C2D59"/>
            <w:noWrap/>
            <w:vAlign w:val="bottom"/>
            <w:hideMark/>
          </w:tcPr>
          <w:p w14:paraId="27AB4DCF" w14:textId="77777777" w:rsidR="001F3457" w:rsidRPr="003C0682" w:rsidRDefault="001F3457" w:rsidP="00DD61A7">
            <w:pPr>
              <w:jc w:val="center"/>
              <w:rPr>
                <w:rFonts w:cs="Arial"/>
                <w:color w:val="FFFFFF"/>
                <w:sz w:val="22"/>
                <w:szCs w:val="18"/>
                <w:lang w:eastAsia="en-GB"/>
              </w:rPr>
            </w:pPr>
            <w:r w:rsidRPr="003C0682">
              <w:rPr>
                <w:rFonts w:cs="Arial"/>
                <w:color w:val="FFFFFF"/>
                <w:sz w:val="22"/>
                <w:szCs w:val="18"/>
                <w:lang w:eastAsia="en-GB"/>
              </w:rPr>
              <w:t>25 Year</w:t>
            </w:r>
          </w:p>
        </w:tc>
        <w:tc>
          <w:tcPr>
            <w:tcW w:w="1387" w:type="dxa"/>
            <w:tcBorders>
              <w:top w:val="single" w:sz="8" w:space="0" w:color="auto"/>
              <w:left w:val="single" w:sz="8" w:space="0" w:color="auto"/>
              <w:bottom w:val="single" w:sz="4" w:space="0" w:color="auto"/>
              <w:right w:val="single" w:sz="8" w:space="0" w:color="auto"/>
            </w:tcBorders>
            <w:shd w:val="clear" w:color="008080" w:fill="2C2D59"/>
            <w:noWrap/>
            <w:vAlign w:val="bottom"/>
            <w:hideMark/>
          </w:tcPr>
          <w:p w14:paraId="71D4CBAC" w14:textId="77777777" w:rsidR="001F3457" w:rsidRPr="003C0682" w:rsidRDefault="001F3457" w:rsidP="00DD61A7">
            <w:pPr>
              <w:jc w:val="center"/>
              <w:rPr>
                <w:rFonts w:cs="Arial"/>
                <w:color w:val="FFFFFF"/>
                <w:sz w:val="22"/>
                <w:szCs w:val="18"/>
                <w:lang w:eastAsia="en-GB"/>
              </w:rPr>
            </w:pPr>
            <w:r w:rsidRPr="003C0682">
              <w:rPr>
                <w:rFonts w:cs="Arial"/>
                <w:color w:val="FFFFFF"/>
                <w:sz w:val="22"/>
                <w:szCs w:val="18"/>
                <w:lang w:eastAsia="en-GB"/>
              </w:rPr>
              <w:t>50 Year</w:t>
            </w:r>
          </w:p>
        </w:tc>
      </w:tr>
      <w:tr w:rsidR="001F3457" w:rsidRPr="003C0682" w14:paraId="334E4600" w14:textId="77777777" w:rsidTr="00DD61A7">
        <w:trPr>
          <w:trHeight w:val="297"/>
        </w:trPr>
        <w:tc>
          <w:tcPr>
            <w:tcW w:w="2050" w:type="dxa"/>
            <w:tcBorders>
              <w:top w:val="nil"/>
              <w:left w:val="single" w:sz="8" w:space="0" w:color="auto"/>
              <w:bottom w:val="single" w:sz="8" w:space="0" w:color="auto"/>
              <w:right w:val="nil"/>
            </w:tcBorders>
            <w:shd w:val="clear" w:color="000000" w:fill="C9CEE8"/>
            <w:vAlign w:val="center"/>
            <w:hideMark/>
          </w:tcPr>
          <w:p w14:paraId="293E8B07" w14:textId="77777777" w:rsidR="001F3457" w:rsidRPr="003C0682" w:rsidRDefault="001F3457" w:rsidP="00DD61A7">
            <w:pPr>
              <w:jc w:val="center"/>
              <w:rPr>
                <w:rFonts w:cs="Arial"/>
                <w:b/>
                <w:bCs/>
                <w:color w:val="000000"/>
                <w:sz w:val="22"/>
                <w:szCs w:val="18"/>
                <w:lang w:eastAsia="en-GB"/>
              </w:rPr>
            </w:pPr>
            <w:r w:rsidRPr="003C0682">
              <w:rPr>
                <w:rFonts w:cs="Arial"/>
                <w:b/>
                <w:bCs/>
                <w:color w:val="000000"/>
                <w:sz w:val="22"/>
                <w:szCs w:val="18"/>
                <w:lang w:eastAsia="en-GB"/>
              </w:rPr>
              <w:t>Low</w:t>
            </w:r>
          </w:p>
        </w:tc>
        <w:tc>
          <w:tcPr>
            <w:tcW w:w="1387" w:type="dxa"/>
            <w:tcBorders>
              <w:top w:val="nil"/>
              <w:left w:val="single" w:sz="8" w:space="0" w:color="auto"/>
              <w:bottom w:val="nil"/>
              <w:right w:val="single" w:sz="8" w:space="0" w:color="auto"/>
            </w:tcBorders>
            <w:shd w:val="clear" w:color="auto" w:fill="auto"/>
            <w:noWrap/>
            <w:vAlign w:val="center"/>
          </w:tcPr>
          <w:p w14:paraId="5F68605C"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0.65%</w:t>
            </w:r>
          </w:p>
        </w:tc>
        <w:tc>
          <w:tcPr>
            <w:tcW w:w="1387" w:type="dxa"/>
            <w:tcBorders>
              <w:top w:val="nil"/>
              <w:left w:val="nil"/>
              <w:bottom w:val="nil"/>
              <w:right w:val="nil"/>
            </w:tcBorders>
            <w:shd w:val="clear" w:color="auto" w:fill="auto"/>
            <w:noWrap/>
            <w:vAlign w:val="center"/>
          </w:tcPr>
          <w:p w14:paraId="42459AF0"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0.72%</w:t>
            </w:r>
          </w:p>
        </w:tc>
        <w:tc>
          <w:tcPr>
            <w:tcW w:w="1387" w:type="dxa"/>
            <w:tcBorders>
              <w:top w:val="nil"/>
              <w:left w:val="single" w:sz="8" w:space="0" w:color="auto"/>
              <w:bottom w:val="nil"/>
              <w:right w:val="single" w:sz="8" w:space="0" w:color="auto"/>
            </w:tcBorders>
            <w:shd w:val="clear" w:color="auto" w:fill="auto"/>
            <w:noWrap/>
            <w:vAlign w:val="center"/>
          </w:tcPr>
          <w:p w14:paraId="0355CA26"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1.00%</w:t>
            </w:r>
          </w:p>
        </w:tc>
        <w:tc>
          <w:tcPr>
            <w:tcW w:w="1387" w:type="dxa"/>
            <w:tcBorders>
              <w:top w:val="nil"/>
              <w:left w:val="nil"/>
              <w:bottom w:val="nil"/>
              <w:right w:val="nil"/>
            </w:tcBorders>
            <w:shd w:val="clear" w:color="auto" w:fill="auto"/>
            <w:noWrap/>
            <w:vAlign w:val="center"/>
          </w:tcPr>
          <w:p w14:paraId="0D38C8EF"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1.53%</w:t>
            </w:r>
          </w:p>
        </w:tc>
        <w:tc>
          <w:tcPr>
            <w:tcW w:w="1387" w:type="dxa"/>
            <w:tcBorders>
              <w:top w:val="nil"/>
              <w:left w:val="single" w:sz="8" w:space="0" w:color="auto"/>
              <w:bottom w:val="nil"/>
              <w:right w:val="single" w:sz="8" w:space="0" w:color="auto"/>
            </w:tcBorders>
            <w:shd w:val="clear" w:color="auto" w:fill="auto"/>
            <w:noWrap/>
            <w:vAlign w:val="center"/>
          </w:tcPr>
          <w:p w14:paraId="568123FB"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1.32%</w:t>
            </w:r>
          </w:p>
        </w:tc>
      </w:tr>
      <w:tr w:rsidR="001F3457" w:rsidRPr="003C0682" w14:paraId="7C25F54A" w14:textId="77777777" w:rsidTr="00DD61A7">
        <w:trPr>
          <w:trHeight w:val="297"/>
        </w:trPr>
        <w:tc>
          <w:tcPr>
            <w:tcW w:w="2050" w:type="dxa"/>
            <w:tcBorders>
              <w:top w:val="nil"/>
              <w:left w:val="single" w:sz="8" w:space="0" w:color="auto"/>
              <w:bottom w:val="single" w:sz="8" w:space="0" w:color="auto"/>
              <w:right w:val="nil"/>
            </w:tcBorders>
            <w:shd w:val="clear" w:color="000000" w:fill="C9CEE8"/>
            <w:vAlign w:val="center"/>
            <w:hideMark/>
          </w:tcPr>
          <w:p w14:paraId="5CE04477" w14:textId="77777777" w:rsidR="001F3457" w:rsidRPr="003C0682" w:rsidRDefault="001F3457" w:rsidP="00DD61A7">
            <w:pPr>
              <w:jc w:val="center"/>
              <w:rPr>
                <w:rFonts w:cs="Arial"/>
                <w:b/>
                <w:bCs/>
                <w:color w:val="000000"/>
                <w:sz w:val="22"/>
                <w:szCs w:val="18"/>
                <w:lang w:eastAsia="en-GB"/>
              </w:rPr>
            </w:pPr>
            <w:r w:rsidRPr="003C0682">
              <w:rPr>
                <w:rFonts w:cs="Arial"/>
                <w:b/>
                <w:bCs/>
                <w:color w:val="000000"/>
                <w:sz w:val="22"/>
                <w:szCs w:val="18"/>
                <w:lang w:eastAsia="en-GB"/>
              </w:rPr>
              <w:t>Low date</w:t>
            </w:r>
          </w:p>
        </w:tc>
        <w:tc>
          <w:tcPr>
            <w:tcW w:w="13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AF7A99"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04/01/2021</w:t>
            </w:r>
          </w:p>
        </w:tc>
        <w:tc>
          <w:tcPr>
            <w:tcW w:w="1387" w:type="dxa"/>
            <w:tcBorders>
              <w:top w:val="single" w:sz="8" w:space="0" w:color="auto"/>
              <w:left w:val="nil"/>
              <w:bottom w:val="single" w:sz="8" w:space="0" w:color="auto"/>
              <w:right w:val="nil"/>
            </w:tcBorders>
            <w:shd w:val="clear" w:color="auto" w:fill="auto"/>
            <w:noWrap/>
            <w:vAlign w:val="center"/>
          </w:tcPr>
          <w:p w14:paraId="40FF129A"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11/12/2020</w:t>
            </w:r>
          </w:p>
        </w:tc>
        <w:tc>
          <w:tcPr>
            <w:tcW w:w="13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7981AE"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11/12/2020</w:t>
            </w:r>
          </w:p>
        </w:tc>
        <w:tc>
          <w:tcPr>
            <w:tcW w:w="1387" w:type="dxa"/>
            <w:tcBorders>
              <w:top w:val="single" w:sz="8" w:space="0" w:color="auto"/>
              <w:left w:val="nil"/>
              <w:bottom w:val="single" w:sz="8" w:space="0" w:color="auto"/>
              <w:right w:val="nil"/>
            </w:tcBorders>
            <w:shd w:val="clear" w:color="auto" w:fill="auto"/>
            <w:noWrap/>
            <w:vAlign w:val="center"/>
          </w:tcPr>
          <w:p w14:paraId="14709AA0"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11/12/2020</w:t>
            </w:r>
          </w:p>
        </w:tc>
        <w:tc>
          <w:tcPr>
            <w:tcW w:w="13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E89842"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11/12/2020</w:t>
            </w:r>
          </w:p>
        </w:tc>
      </w:tr>
      <w:tr w:rsidR="001F3457" w:rsidRPr="003C0682" w14:paraId="5C615EFE" w14:textId="77777777" w:rsidTr="00DD61A7">
        <w:trPr>
          <w:trHeight w:val="297"/>
        </w:trPr>
        <w:tc>
          <w:tcPr>
            <w:tcW w:w="2050" w:type="dxa"/>
            <w:tcBorders>
              <w:top w:val="nil"/>
              <w:left w:val="single" w:sz="8" w:space="0" w:color="auto"/>
              <w:bottom w:val="single" w:sz="8" w:space="0" w:color="auto"/>
              <w:right w:val="nil"/>
            </w:tcBorders>
            <w:shd w:val="clear" w:color="000000" w:fill="C9CEE8"/>
            <w:vAlign w:val="center"/>
            <w:hideMark/>
          </w:tcPr>
          <w:p w14:paraId="57400580" w14:textId="77777777" w:rsidR="001F3457" w:rsidRPr="003C0682" w:rsidRDefault="001F3457" w:rsidP="00DD61A7">
            <w:pPr>
              <w:jc w:val="center"/>
              <w:rPr>
                <w:rFonts w:cs="Arial"/>
                <w:b/>
                <w:bCs/>
                <w:color w:val="000000"/>
                <w:sz w:val="22"/>
                <w:szCs w:val="18"/>
                <w:lang w:eastAsia="en-GB"/>
              </w:rPr>
            </w:pPr>
            <w:r w:rsidRPr="003C0682">
              <w:rPr>
                <w:rFonts w:cs="Arial"/>
                <w:b/>
                <w:bCs/>
                <w:color w:val="000000"/>
                <w:sz w:val="22"/>
                <w:szCs w:val="18"/>
                <w:lang w:eastAsia="en-GB"/>
              </w:rPr>
              <w:t>High</w:t>
            </w:r>
          </w:p>
        </w:tc>
        <w:tc>
          <w:tcPr>
            <w:tcW w:w="1387" w:type="dxa"/>
            <w:tcBorders>
              <w:top w:val="nil"/>
              <w:left w:val="single" w:sz="8" w:space="0" w:color="auto"/>
              <w:bottom w:val="nil"/>
              <w:right w:val="single" w:sz="8" w:space="0" w:color="auto"/>
            </w:tcBorders>
            <w:shd w:val="clear" w:color="auto" w:fill="auto"/>
            <w:noWrap/>
            <w:vAlign w:val="bottom"/>
          </w:tcPr>
          <w:p w14:paraId="4E1FF5D0"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1.94%</w:t>
            </w:r>
          </w:p>
        </w:tc>
        <w:tc>
          <w:tcPr>
            <w:tcW w:w="1387" w:type="dxa"/>
            <w:tcBorders>
              <w:top w:val="nil"/>
              <w:left w:val="nil"/>
              <w:bottom w:val="nil"/>
              <w:right w:val="nil"/>
            </w:tcBorders>
            <w:shd w:val="clear" w:color="auto" w:fill="auto"/>
            <w:noWrap/>
            <w:vAlign w:val="bottom"/>
          </w:tcPr>
          <w:p w14:paraId="3B25FF22"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1.99%</w:t>
            </w:r>
          </w:p>
        </w:tc>
        <w:tc>
          <w:tcPr>
            <w:tcW w:w="1387" w:type="dxa"/>
            <w:tcBorders>
              <w:top w:val="nil"/>
              <w:left w:val="single" w:sz="8" w:space="0" w:color="auto"/>
              <w:bottom w:val="nil"/>
              <w:right w:val="single" w:sz="8" w:space="0" w:color="auto"/>
            </w:tcBorders>
            <w:shd w:val="clear" w:color="auto" w:fill="auto"/>
            <w:noWrap/>
            <w:vAlign w:val="bottom"/>
          </w:tcPr>
          <w:p w14:paraId="3BB99BA3"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2.28%</w:t>
            </w:r>
          </w:p>
        </w:tc>
        <w:tc>
          <w:tcPr>
            <w:tcW w:w="1387" w:type="dxa"/>
            <w:tcBorders>
              <w:top w:val="nil"/>
              <w:left w:val="nil"/>
              <w:bottom w:val="nil"/>
              <w:right w:val="nil"/>
            </w:tcBorders>
            <w:shd w:val="clear" w:color="auto" w:fill="auto"/>
            <w:noWrap/>
            <w:vAlign w:val="bottom"/>
          </w:tcPr>
          <w:p w14:paraId="5A947F59"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2.86%</w:t>
            </w:r>
          </w:p>
        </w:tc>
        <w:tc>
          <w:tcPr>
            <w:tcW w:w="1387" w:type="dxa"/>
            <w:tcBorders>
              <w:top w:val="nil"/>
              <w:left w:val="single" w:sz="8" w:space="0" w:color="auto"/>
              <w:bottom w:val="nil"/>
              <w:right w:val="single" w:sz="8" w:space="0" w:color="auto"/>
            </w:tcBorders>
            <w:shd w:val="clear" w:color="auto" w:fill="auto"/>
            <w:noWrap/>
            <w:vAlign w:val="bottom"/>
          </w:tcPr>
          <w:p w14:paraId="0DE66FF2"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2.71%</w:t>
            </w:r>
          </w:p>
        </w:tc>
      </w:tr>
      <w:tr w:rsidR="001F3457" w:rsidRPr="003C0682" w14:paraId="4BB6E576" w14:textId="77777777" w:rsidTr="00DD61A7">
        <w:trPr>
          <w:trHeight w:val="297"/>
        </w:trPr>
        <w:tc>
          <w:tcPr>
            <w:tcW w:w="2050" w:type="dxa"/>
            <w:tcBorders>
              <w:top w:val="nil"/>
              <w:left w:val="single" w:sz="8" w:space="0" w:color="auto"/>
              <w:bottom w:val="single" w:sz="8" w:space="0" w:color="auto"/>
              <w:right w:val="nil"/>
            </w:tcBorders>
            <w:shd w:val="clear" w:color="000000" w:fill="C9CEE8"/>
            <w:vAlign w:val="center"/>
            <w:hideMark/>
          </w:tcPr>
          <w:p w14:paraId="1E862C70" w14:textId="77777777" w:rsidR="001F3457" w:rsidRPr="003C0682" w:rsidRDefault="001F3457" w:rsidP="00DD61A7">
            <w:pPr>
              <w:jc w:val="center"/>
              <w:rPr>
                <w:rFonts w:cs="Arial"/>
                <w:b/>
                <w:bCs/>
                <w:color w:val="000000"/>
                <w:sz w:val="22"/>
                <w:szCs w:val="18"/>
                <w:lang w:eastAsia="en-GB"/>
              </w:rPr>
            </w:pPr>
            <w:r w:rsidRPr="003C0682">
              <w:rPr>
                <w:rFonts w:cs="Arial"/>
                <w:b/>
                <w:bCs/>
                <w:color w:val="000000"/>
                <w:sz w:val="22"/>
                <w:szCs w:val="18"/>
                <w:lang w:eastAsia="en-GB"/>
              </w:rPr>
              <w:t>High date</w:t>
            </w:r>
          </w:p>
        </w:tc>
        <w:tc>
          <w:tcPr>
            <w:tcW w:w="13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638953"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08/04/2020</w:t>
            </w:r>
          </w:p>
        </w:tc>
        <w:tc>
          <w:tcPr>
            <w:tcW w:w="1387" w:type="dxa"/>
            <w:tcBorders>
              <w:top w:val="single" w:sz="8" w:space="0" w:color="auto"/>
              <w:left w:val="nil"/>
              <w:bottom w:val="single" w:sz="8" w:space="0" w:color="auto"/>
              <w:right w:val="nil"/>
            </w:tcBorders>
            <w:shd w:val="clear" w:color="auto" w:fill="auto"/>
            <w:noWrap/>
            <w:vAlign w:val="center"/>
          </w:tcPr>
          <w:p w14:paraId="3197F751"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08/04/2020</w:t>
            </w:r>
          </w:p>
        </w:tc>
        <w:tc>
          <w:tcPr>
            <w:tcW w:w="13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F7A0D0"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11/11/2020</w:t>
            </w:r>
          </w:p>
        </w:tc>
        <w:tc>
          <w:tcPr>
            <w:tcW w:w="1387" w:type="dxa"/>
            <w:tcBorders>
              <w:top w:val="single" w:sz="8" w:space="0" w:color="auto"/>
              <w:left w:val="nil"/>
              <w:bottom w:val="single" w:sz="8" w:space="0" w:color="auto"/>
              <w:right w:val="nil"/>
            </w:tcBorders>
            <w:shd w:val="clear" w:color="auto" w:fill="auto"/>
            <w:noWrap/>
            <w:vAlign w:val="center"/>
          </w:tcPr>
          <w:p w14:paraId="0FE122DB"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11/11/2020</w:t>
            </w:r>
          </w:p>
        </w:tc>
        <w:tc>
          <w:tcPr>
            <w:tcW w:w="13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02F67D"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11/11/2020</w:t>
            </w:r>
          </w:p>
        </w:tc>
      </w:tr>
      <w:tr w:rsidR="001F3457" w:rsidRPr="003C0682" w14:paraId="71BE97CD" w14:textId="77777777" w:rsidTr="00DD61A7">
        <w:trPr>
          <w:trHeight w:val="297"/>
        </w:trPr>
        <w:tc>
          <w:tcPr>
            <w:tcW w:w="2050" w:type="dxa"/>
            <w:tcBorders>
              <w:top w:val="nil"/>
              <w:left w:val="single" w:sz="8" w:space="0" w:color="auto"/>
              <w:bottom w:val="single" w:sz="8" w:space="0" w:color="auto"/>
              <w:right w:val="nil"/>
            </w:tcBorders>
            <w:shd w:val="clear" w:color="000000" w:fill="C9CEE8"/>
            <w:vAlign w:val="center"/>
            <w:hideMark/>
          </w:tcPr>
          <w:p w14:paraId="428DC7B8" w14:textId="77777777" w:rsidR="001F3457" w:rsidRPr="003C0682" w:rsidRDefault="001F3457" w:rsidP="00DD61A7">
            <w:pPr>
              <w:jc w:val="center"/>
              <w:rPr>
                <w:rFonts w:cs="Arial"/>
                <w:b/>
                <w:bCs/>
                <w:color w:val="000000"/>
                <w:sz w:val="22"/>
                <w:szCs w:val="18"/>
                <w:lang w:eastAsia="en-GB"/>
              </w:rPr>
            </w:pPr>
            <w:r w:rsidRPr="003C0682">
              <w:rPr>
                <w:rFonts w:cs="Arial"/>
                <w:b/>
                <w:bCs/>
                <w:color w:val="000000"/>
                <w:sz w:val="22"/>
                <w:szCs w:val="18"/>
                <w:lang w:eastAsia="en-GB"/>
              </w:rPr>
              <w:t>Average</w:t>
            </w:r>
          </w:p>
        </w:tc>
        <w:tc>
          <w:tcPr>
            <w:tcW w:w="1387" w:type="dxa"/>
            <w:tcBorders>
              <w:top w:val="nil"/>
              <w:left w:val="single" w:sz="8" w:space="0" w:color="auto"/>
              <w:bottom w:val="single" w:sz="8" w:space="0" w:color="auto"/>
              <w:right w:val="single" w:sz="8" w:space="0" w:color="auto"/>
            </w:tcBorders>
            <w:shd w:val="clear" w:color="auto" w:fill="auto"/>
            <w:noWrap/>
            <w:vAlign w:val="center"/>
          </w:tcPr>
          <w:p w14:paraId="5433AE3E"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1.43%</w:t>
            </w:r>
          </w:p>
        </w:tc>
        <w:tc>
          <w:tcPr>
            <w:tcW w:w="1387" w:type="dxa"/>
            <w:tcBorders>
              <w:top w:val="nil"/>
              <w:left w:val="nil"/>
              <w:bottom w:val="single" w:sz="8" w:space="0" w:color="auto"/>
              <w:right w:val="nil"/>
            </w:tcBorders>
            <w:shd w:val="clear" w:color="auto" w:fill="auto"/>
            <w:noWrap/>
            <w:vAlign w:val="center"/>
          </w:tcPr>
          <w:p w14:paraId="5DB0568A"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1.50%</w:t>
            </w:r>
          </w:p>
        </w:tc>
        <w:tc>
          <w:tcPr>
            <w:tcW w:w="1387" w:type="dxa"/>
            <w:tcBorders>
              <w:top w:val="nil"/>
              <w:left w:val="single" w:sz="8" w:space="0" w:color="auto"/>
              <w:bottom w:val="single" w:sz="8" w:space="0" w:color="auto"/>
              <w:right w:val="single" w:sz="8" w:space="0" w:color="auto"/>
            </w:tcBorders>
            <w:shd w:val="clear" w:color="auto" w:fill="auto"/>
            <w:noWrap/>
            <w:vAlign w:val="center"/>
          </w:tcPr>
          <w:p w14:paraId="50F4DA0D"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1.81%</w:t>
            </w:r>
          </w:p>
        </w:tc>
        <w:tc>
          <w:tcPr>
            <w:tcW w:w="1387" w:type="dxa"/>
            <w:tcBorders>
              <w:top w:val="nil"/>
              <w:left w:val="nil"/>
              <w:bottom w:val="single" w:sz="8" w:space="0" w:color="auto"/>
              <w:right w:val="nil"/>
            </w:tcBorders>
            <w:shd w:val="clear" w:color="auto" w:fill="auto"/>
            <w:noWrap/>
            <w:vAlign w:val="center"/>
          </w:tcPr>
          <w:p w14:paraId="5C5E1078"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2.33%</w:t>
            </w:r>
          </w:p>
        </w:tc>
        <w:tc>
          <w:tcPr>
            <w:tcW w:w="1387" w:type="dxa"/>
            <w:tcBorders>
              <w:top w:val="nil"/>
              <w:left w:val="single" w:sz="8" w:space="0" w:color="auto"/>
              <w:bottom w:val="single" w:sz="8" w:space="0" w:color="auto"/>
              <w:right w:val="single" w:sz="8" w:space="0" w:color="auto"/>
            </w:tcBorders>
            <w:shd w:val="clear" w:color="auto" w:fill="auto"/>
            <w:noWrap/>
            <w:vAlign w:val="center"/>
          </w:tcPr>
          <w:p w14:paraId="1FAAAD14"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D0D0D"/>
                <w:sz w:val="22"/>
                <w:szCs w:val="18"/>
              </w:rPr>
              <w:t>2.14%</w:t>
            </w:r>
          </w:p>
        </w:tc>
      </w:tr>
      <w:tr w:rsidR="001F3457" w:rsidRPr="003C0682" w14:paraId="45F34985" w14:textId="77777777" w:rsidTr="00DD61A7">
        <w:trPr>
          <w:trHeight w:val="297"/>
        </w:trPr>
        <w:tc>
          <w:tcPr>
            <w:tcW w:w="2050" w:type="dxa"/>
            <w:tcBorders>
              <w:top w:val="nil"/>
              <w:left w:val="single" w:sz="8" w:space="0" w:color="auto"/>
              <w:bottom w:val="single" w:sz="8" w:space="0" w:color="auto"/>
              <w:right w:val="nil"/>
            </w:tcBorders>
            <w:shd w:val="clear" w:color="000000" w:fill="C9CEE8"/>
            <w:vAlign w:val="center"/>
          </w:tcPr>
          <w:p w14:paraId="37D294E0" w14:textId="77777777" w:rsidR="001F3457" w:rsidRPr="003C0682" w:rsidRDefault="001F3457" w:rsidP="00DD61A7">
            <w:pPr>
              <w:jc w:val="center"/>
              <w:rPr>
                <w:rFonts w:cs="Arial"/>
                <w:b/>
                <w:bCs/>
                <w:color w:val="000000"/>
                <w:sz w:val="22"/>
                <w:szCs w:val="18"/>
                <w:lang w:eastAsia="en-GB"/>
              </w:rPr>
            </w:pPr>
            <w:r w:rsidRPr="003C0682">
              <w:rPr>
                <w:rFonts w:cs="Arial"/>
                <w:b/>
                <w:bCs/>
                <w:color w:val="000000"/>
                <w:sz w:val="22"/>
                <w:szCs w:val="18"/>
                <w:lang w:eastAsia="en-GB"/>
              </w:rPr>
              <w:t>Spread</w:t>
            </w:r>
          </w:p>
        </w:tc>
        <w:tc>
          <w:tcPr>
            <w:tcW w:w="1387" w:type="dxa"/>
            <w:tcBorders>
              <w:top w:val="nil"/>
              <w:left w:val="single" w:sz="8" w:space="0" w:color="auto"/>
              <w:bottom w:val="single" w:sz="8" w:space="0" w:color="auto"/>
              <w:right w:val="single" w:sz="8" w:space="0" w:color="auto"/>
            </w:tcBorders>
            <w:shd w:val="clear" w:color="auto" w:fill="auto"/>
            <w:noWrap/>
            <w:vAlign w:val="center"/>
          </w:tcPr>
          <w:p w14:paraId="24A62387" w14:textId="77777777" w:rsidR="001F3457" w:rsidRPr="003C0682" w:rsidRDefault="001F3457" w:rsidP="00DD61A7">
            <w:pPr>
              <w:jc w:val="center"/>
              <w:rPr>
                <w:rFonts w:eastAsia="Bliss 2 Regular" w:cs="Arial"/>
                <w:color w:val="0D0D0D"/>
                <w:sz w:val="22"/>
                <w:szCs w:val="18"/>
              </w:rPr>
            </w:pPr>
            <w:r w:rsidRPr="003C0682">
              <w:rPr>
                <w:rFonts w:eastAsia="Bliss 2 Regular" w:cs="Arial"/>
                <w:color w:val="0D0D0D"/>
                <w:sz w:val="22"/>
                <w:szCs w:val="18"/>
              </w:rPr>
              <w:t>1.29%</w:t>
            </w:r>
          </w:p>
        </w:tc>
        <w:tc>
          <w:tcPr>
            <w:tcW w:w="1387" w:type="dxa"/>
            <w:tcBorders>
              <w:top w:val="nil"/>
              <w:left w:val="nil"/>
              <w:bottom w:val="single" w:sz="8" w:space="0" w:color="auto"/>
              <w:right w:val="nil"/>
            </w:tcBorders>
            <w:shd w:val="clear" w:color="auto" w:fill="auto"/>
            <w:noWrap/>
            <w:vAlign w:val="center"/>
          </w:tcPr>
          <w:p w14:paraId="14ADB6D5" w14:textId="77777777" w:rsidR="001F3457" w:rsidRPr="003C0682" w:rsidRDefault="001F3457" w:rsidP="00DD61A7">
            <w:pPr>
              <w:jc w:val="center"/>
              <w:rPr>
                <w:rFonts w:eastAsia="Bliss 2 Regular" w:cs="Arial"/>
                <w:color w:val="0D0D0D"/>
                <w:sz w:val="22"/>
                <w:szCs w:val="18"/>
              </w:rPr>
            </w:pPr>
            <w:r w:rsidRPr="003C0682">
              <w:rPr>
                <w:rFonts w:eastAsia="Bliss 2 Regular" w:cs="Arial"/>
                <w:color w:val="0D0D0D"/>
                <w:sz w:val="22"/>
                <w:szCs w:val="18"/>
              </w:rPr>
              <w:t>1.27%</w:t>
            </w:r>
          </w:p>
        </w:tc>
        <w:tc>
          <w:tcPr>
            <w:tcW w:w="1387" w:type="dxa"/>
            <w:tcBorders>
              <w:top w:val="nil"/>
              <w:left w:val="single" w:sz="8" w:space="0" w:color="auto"/>
              <w:bottom w:val="single" w:sz="8" w:space="0" w:color="auto"/>
              <w:right w:val="single" w:sz="8" w:space="0" w:color="auto"/>
            </w:tcBorders>
            <w:shd w:val="clear" w:color="auto" w:fill="auto"/>
            <w:noWrap/>
            <w:vAlign w:val="center"/>
          </w:tcPr>
          <w:p w14:paraId="674BB31D" w14:textId="77777777" w:rsidR="001F3457" w:rsidRPr="003C0682" w:rsidRDefault="001F3457" w:rsidP="00DD61A7">
            <w:pPr>
              <w:jc w:val="center"/>
              <w:rPr>
                <w:rFonts w:eastAsia="Bliss 2 Regular" w:cs="Arial"/>
                <w:color w:val="0D0D0D"/>
                <w:sz w:val="22"/>
                <w:szCs w:val="18"/>
              </w:rPr>
            </w:pPr>
            <w:r w:rsidRPr="003C0682">
              <w:rPr>
                <w:rFonts w:eastAsia="Bliss 2 Regular" w:cs="Arial"/>
                <w:color w:val="0D0D0D"/>
                <w:sz w:val="22"/>
                <w:szCs w:val="18"/>
              </w:rPr>
              <w:t>1.28%</w:t>
            </w:r>
          </w:p>
        </w:tc>
        <w:tc>
          <w:tcPr>
            <w:tcW w:w="1387" w:type="dxa"/>
            <w:tcBorders>
              <w:top w:val="nil"/>
              <w:left w:val="nil"/>
              <w:bottom w:val="single" w:sz="8" w:space="0" w:color="auto"/>
              <w:right w:val="nil"/>
            </w:tcBorders>
            <w:shd w:val="clear" w:color="auto" w:fill="auto"/>
            <w:noWrap/>
            <w:vAlign w:val="center"/>
          </w:tcPr>
          <w:p w14:paraId="5E23400B" w14:textId="77777777" w:rsidR="001F3457" w:rsidRPr="003C0682" w:rsidRDefault="001F3457" w:rsidP="00DD61A7">
            <w:pPr>
              <w:jc w:val="center"/>
              <w:rPr>
                <w:rFonts w:eastAsia="Bliss 2 Regular" w:cs="Arial"/>
                <w:color w:val="0D0D0D"/>
                <w:sz w:val="22"/>
                <w:szCs w:val="18"/>
              </w:rPr>
            </w:pPr>
            <w:r w:rsidRPr="003C0682">
              <w:rPr>
                <w:rFonts w:eastAsia="Bliss 2 Regular" w:cs="Arial"/>
                <w:color w:val="0D0D0D"/>
                <w:sz w:val="22"/>
                <w:szCs w:val="18"/>
              </w:rPr>
              <w:t>1.33%</w:t>
            </w:r>
          </w:p>
        </w:tc>
        <w:tc>
          <w:tcPr>
            <w:tcW w:w="1387" w:type="dxa"/>
            <w:tcBorders>
              <w:top w:val="nil"/>
              <w:left w:val="single" w:sz="8" w:space="0" w:color="auto"/>
              <w:bottom w:val="single" w:sz="8" w:space="0" w:color="auto"/>
              <w:right w:val="single" w:sz="8" w:space="0" w:color="auto"/>
            </w:tcBorders>
            <w:shd w:val="clear" w:color="auto" w:fill="auto"/>
            <w:noWrap/>
            <w:vAlign w:val="center"/>
          </w:tcPr>
          <w:p w14:paraId="095CBE0A" w14:textId="77777777" w:rsidR="001F3457" w:rsidRPr="003C0682" w:rsidRDefault="001F3457" w:rsidP="00DD61A7">
            <w:pPr>
              <w:jc w:val="center"/>
              <w:rPr>
                <w:rFonts w:eastAsia="Bliss 2 Regular" w:cs="Arial"/>
                <w:color w:val="0D0D0D"/>
                <w:sz w:val="22"/>
                <w:szCs w:val="18"/>
              </w:rPr>
            </w:pPr>
            <w:r w:rsidRPr="003C0682">
              <w:rPr>
                <w:rFonts w:eastAsia="Bliss 2 Regular" w:cs="Arial"/>
                <w:color w:val="0D0D0D"/>
                <w:sz w:val="22"/>
                <w:szCs w:val="18"/>
              </w:rPr>
              <w:t>1.39%</w:t>
            </w:r>
          </w:p>
        </w:tc>
      </w:tr>
      <w:bookmarkEnd w:id="8"/>
    </w:tbl>
    <w:p w14:paraId="21583C86" w14:textId="77777777" w:rsidR="001F3457" w:rsidRPr="003C0682" w:rsidRDefault="001F3457" w:rsidP="001F3457">
      <w:pPr>
        <w:pStyle w:val="ListParagraph"/>
        <w:ind w:left="714"/>
        <w:rPr>
          <w:rFonts w:cs="Arial"/>
          <w:b/>
          <w:color w:val="0D0D0D" w:themeColor="text1" w:themeTint="F2"/>
          <w:szCs w:val="24"/>
        </w:rPr>
      </w:pPr>
    </w:p>
    <w:p w14:paraId="5116A5EA" w14:textId="77777777" w:rsidR="001F3457" w:rsidRPr="00A0721D" w:rsidRDefault="001F3457" w:rsidP="001F3457">
      <w:pPr>
        <w:pStyle w:val="ListParagraph"/>
        <w:numPr>
          <w:ilvl w:val="0"/>
          <w:numId w:val="36"/>
        </w:numPr>
        <w:ind w:left="714" w:hanging="357"/>
        <w:contextualSpacing/>
        <w:rPr>
          <w:rFonts w:cs="Arial"/>
          <w:b/>
          <w:color w:val="0D0D0D" w:themeColor="text1" w:themeTint="F2"/>
          <w:sz w:val="28"/>
          <w:szCs w:val="28"/>
        </w:rPr>
      </w:pPr>
      <w:r w:rsidRPr="00A0721D">
        <w:rPr>
          <w:rFonts w:cs="Arial"/>
          <w:b/>
          <w:color w:val="0D0D0D" w:themeColor="text1" w:themeTint="F2"/>
          <w:sz w:val="28"/>
          <w:szCs w:val="28"/>
        </w:rPr>
        <w:t xml:space="preserve">Money market investment rates </w:t>
      </w:r>
      <w:r>
        <w:rPr>
          <w:rFonts w:cs="Arial"/>
          <w:b/>
          <w:color w:val="0D0D0D" w:themeColor="text1" w:themeTint="F2"/>
          <w:sz w:val="28"/>
          <w:szCs w:val="28"/>
        </w:rPr>
        <w:t>and forecasts 2020/21</w:t>
      </w:r>
    </w:p>
    <w:p w14:paraId="6CE7D58D" w14:textId="77777777" w:rsidR="001F3457" w:rsidRPr="00191D2D" w:rsidRDefault="001F3457" w:rsidP="001F3457">
      <w:pPr>
        <w:rPr>
          <w:rFonts w:ascii="Calibri" w:hAnsi="Calibri" w:cs="Arial"/>
          <w:i/>
          <w:color w:val="0D0D0D" w:themeColor="text1" w:themeTint="F2"/>
          <w:sz w:val="22"/>
          <w:szCs w:val="22"/>
        </w:rPr>
      </w:pPr>
    </w:p>
    <w:tbl>
      <w:tblPr>
        <w:tblW w:w="9076" w:type="dxa"/>
        <w:tblInd w:w="118" w:type="dxa"/>
        <w:tblLook w:val="04A0" w:firstRow="1" w:lastRow="0" w:firstColumn="1" w:lastColumn="0" w:noHBand="0" w:noVBand="1"/>
      </w:tblPr>
      <w:tblGrid>
        <w:gridCol w:w="1108"/>
        <w:gridCol w:w="1318"/>
        <w:gridCol w:w="1330"/>
        <w:gridCol w:w="1330"/>
        <w:gridCol w:w="1330"/>
        <w:gridCol w:w="1330"/>
        <w:gridCol w:w="1330"/>
      </w:tblGrid>
      <w:tr w:rsidR="001F3457" w:rsidRPr="005D4596" w14:paraId="3A7A3957" w14:textId="77777777" w:rsidTr="003C0682">
        <w:trPr>
          <w:trHeight w:val="319"/>
        </w:trPr>
        <w:tc>
          <w:tcPr>
            <w:tcW w:w="1432" w:type="dxa"/>
            <w:tcBorders>
              <w:top w:val="single" w:sz="8" w:space="0" w:color="auto"/>
              <w:left w:val="single" w:sz="8" w:space="0" w:color="auto"/>
              <w:bottom w:val="single" w:sz="8" w:space="0" w:color="auto"/>
              <w:right w:val="nil"/>
            </w:tcBorders>
            <w:shd w:val="clear" w:color="000000" w:fill="2D2D59"/>
            <w:vAlign w:val="center"/>
            <w:hideMark/>
          </w:tcPr>
          <w:p w14:paraId="14F8705F" w14:textId="77777777" w:rsidR="001F3457" w:rsidRPr="003C0682" w:rsidRDefault="001F3457" w:rsidP="00DD61A7">
            <w:pPr>
              <w:rPr>
                <w:rFonts w:cs="Arial"/>
                <w:b/>
                <w:bCs/>
                <w:color w:val="FFFFFF"/>
                <w:sz w:val="22"/>
                <w:szCs w:val="18"/>
                <w:lang w:eastAsia="en-GB"/>
              </w:rPr>
            </w:pPr>
            <w:r w:rsidRPr="003C0682">
              <w:rPr>
                <w:rFonts w:cs="Arial"/>
                <w:b/>
                <w:bCs/>
                <w:color w:val="FFFFFF"/>
                <w:sz w:val="22"/>
                <w:szCs w:val="18"/>
                <w:lang w:eastAsia="en-GB"/>
              </w:rPr>
              <w:t> </w:t>
            </w:r>
          </w:p>
        </w:tc>
        <w:tc>
          <w:tcPr>
            <w:tcW w:w="994" w:type="dxa"/>
            <w:tcBorders>
              <w:top w:val="single" w:sz="8" w:space="0" w:color="auto"/>
              <w:left w:val="single" w:sz="8" w:space="0" w:color="auto"/>
              <w:bottom w:val="single" w:sz="8" w:space="0" w:color="auto"/>
              <w:right w:val="single" w:sz="8" w:space="0" w:color="auto"/>
            </w:tcBorders>
            <w:shd w:val="clear" w:color="000000" w:fill="2D2D59"/>
            <w:vAlign w:val="center"/>
            <w:hideMark/>
          </w:tcPr>
          <w:p w14:paraId="19FBA097" w14:textId="77777777" w:rsidR="001F3457" w:rsidRPr="003C0682" w:rsidRDefault="001F3457" w:rsidP="00DD61A7">
            <w:pPr>
              <w:jc w:val="center"/>
              <w:rPr>
                <w:rFonts w:cs="Arial"/>
                <w:b/>
                <w:bCs/>
                <w:color w:val="FFFFFF"/>
                <w:sz w:val="22"/>
                <w:szCs w:val="18"/>
                <w:lang w:eastAsia="en-GB"/>
              </w:rPr>
            </w:pPr>
            <w:r w:rsidRPr="003C0682">
              <w:rPr>
                <w:rFonts w:cs="Arial"/>
                <w:b/>
                <w:bCs/>
                <w:color w:val="FFFFFF"/>
                <w:sz w:val="22"/>
                <w:szCs w:val="18"/>
                <w:lang w:eastAsia="en-GB"/>
              </w:rPr>
              <w:t>Bank Rate</w:t>
            </w:r>
          </w:p>
        </w:tc>
        <w:tc>
          <w:tcPr>
            <w:tcW w:w="1330" w:type="dxa"/>
            <w:tcBorders>
              <w:top w:val="single" w:sz="8" w:space="0" w:color="auto"/>
              <w:left w:val="nil"/>
              <w:bottom w:val="single" w:sz="8" w:space="0" w:color="auto"/>
              <w:right w:val="nil"/>
            </w:tcBorders>
            <w:shd w:val="clear" w:color="000000" w:fill="2D2D59"/>
            <w:vAlign w:val="center"/>
            <w:hideMark/>
          </w:tcPr>
          <w:p w14:paraId="654C7D8C" w14:textId="77777777" w:rsidR="001F3457" w:rsidRPr="003C0682" w:rsidRDefault="001F3457" w:rsidP="00DD61A7">
            <w:pPr>
              <w:jc w:val="center"/>
              <w:rPr>
                <w:rFonts w:cs="Arial"/>
                <w:b/>
                <w:bCs/>
                <w:color w:val="FFFFFF"/>
                <w:sz w:val="22"/>
                <w:szCs w:val="18"/>
                <w:lang w:eastAsia="en-GB"/>
              </w:rPr>
            </w:pPr>
            <w:r w:rsidRPr="003C0682">
              <w:rPr>
                <w:rFonts w:cs="Arial"/>
                <w:b/>
                <w:bCs/>
                <w:color w:val="FFFFFF"/>
                <w:sz w:val="22"/>
                <w:szCs w:val="18"/>
                <w:lang w:eastAsia="en-GB"/>
              </w:rPr>
              <w:t>7 day</w:t>
            </w:r>
          </w:p>
        </w:tc>
        <w:tc>
          <w:tcPr>
            <w:tcW w:w="1330" w:type="dxa"/>
            <w:tcBorders>
              <w:top w:val="single" w:sz="8" w:space="0" w:color="auto"/>
              <w:left w:val="single" w:sz="8" w:space="0" w:color="auto"/>
              <w:bottom w:val="single" w:sz="8" w:space="0" w:color="auto"/>
              <w:right w:val="single" w:sz="8" w:space="0" w:color="auto"/>
            </w:tcBorders>
            <w:shd w:val="clear" w:color="000000" w:fill="2D2D59"/>
            <w:vAlign w:val="center"/>
            <w:hideMark/>
          </w:tcPr>
          <w:p w14:paraId="427942A5" w14:textId="77777777" w:rsidR="001F3457" w:rsidRPr="003C0682" w:rsidRDefault="001F3457" w:rsidP="00DD61A7">
            <w:pPr>
              <w:jc w:val="center"/>
              <w:rPr>
                <w:rFonts w:cs="Arial"/>
                <w:b/>
                <w:bCs/>
                <w:color w:val="FFFFFF"/>
                <w:sz w:val="22"/>
                <w:szCs w:val="18"/>
                <w:lang w:eastAsia="en-GB"/>
              </w:rPr>
            </w:pPr>
            <w:r w:rsidRPr="003C0682">
              <w:rPr>
                <w:rFonts w:cs="Arial"/>
                <w:b/>
                <w:bCs/>
                <w:color w:val="FFFFFF"/>
                <w:sz w:val="22"/>
                <w:szCs w:val="18"/>
                <w:lang w:eastAsia="en-GB"/>
              </w:rPr>
              <w:t xml:space="preserve">1 </w:t>
            </w:r>
            <w:proofErr w:type="spellStart"/>
            <w:r w:rsidRPr="003C0682">
              <w:rPr>
                <w:rFonts w:cs="Arial"/>
                <w:b/>
                <w:bCs/>
                <w:color w:val="FFFFFF"/>
                <w:sz w:val="22"/>
                <w:szCs w:val="18"/>
                <w:lang w:eastAsia="en-GB"/>
              </w:rPr>
              <w:t>mth</w:t>
            </w:r>
            <w:proofErr w:type="spellEnd"/>
          </w:p>
        </w:tc>
        <w:tc>
          <w:tcPr>
            <w:tcW w:w="1330" w:type="dxa"/>
            <w:tcBorders>
              <w:top w:val="single" w:sz="8" w:space="0" w:color="auto"/>
              <w:left w:val="nil"/>
              <w:bottom w:val="single" w:sz="8" w:space="0" w:color="auto"/>
              <w:right w:val="nil"/>
            </w:tcBorders>
            <w:shd w:val="clear" w:color="000000" w:fill="2D2D59"/>
            <w:vAlign w:val="center"/>
            <w:hideMark/>
          </w:tcPr>
          <w:p w14:paraId="40FE852A" w14:textId="77777777" w:rsidR="001F3457" w:rsidRPr="003C0682" w:rsidRDefault="001F3457" w:rsidP="00DD61A7">
            <w:pPr>
              <w:jc w:val="center"/>
              <w:rPr>
                <w:rFonts w:cs="Arial"/>
                <w:b/>
                <w:bCs/>
                <w:color w:val="FFFFFF"/>
                <w:sz w:val="22"/>
                <w:szCs w:val="18"/>
                <w:lang w:eastAsia="en-GB"/>
              </w:rPr>
            </w:pPr>
            <w:r w:rsidRPr="003C0682">
              <w:rPr>
                <w:rFonts w:cs="Arial"/>
                <w:b/>
                <w:bCs/>
                <w:color w:val="FFFFFF"/>
                <w:sz w:val="22"/>
                <w:szCs w:val="18"/>
                <w:lang w:eastAsia="en-GB"/>
              </w:rPr>
              <w:t xml:space="preserve">3 </w:t>
            </w:r>
            <w:proofErr w:type="spellStart"/>
            <w:r w:rsidRPr="003C0682">
              <w:rPr>
                <w:rFonts w:cs="Arial"/>
                <w:b/>
                <w:bCs/>
                <w:color w:val="FFFFFF"/>
                <w:sz w:val="22"/>
                <w:szCs w:val="18"/>
                <w:lang w:eastAsia="en-GB"/>
              </w:rPr>
              <w:t>mth</w:t>
            </w:r>
            <w:proofErr w:type="spellEnd"/>
          </w:p>
        </w:tc>
        <w:tc>
          <w:tcPr>
            <w:tcW w:w="1330" w:type="dxa"/>
            <w:tcBorders>
              <w:top w:val="single" w:sz="8" w:space="0" w:color="auto"/>
              <w:left w:val="single" w:sz="8" w:space="0" w:color="auto"/>
              <w:bottom w:val="single" w:sz="8" w:space="0" w:color="auto"/>
              <w:right w:val="single" w:sz="8" w:space="0" w:color="auto"/>
            </w:tcBorders>
            <w:shd w:val="clear" w:color="000000" w:fill="2D2D59"/>
            <w:vAlign w:val="center"/>
            <w:hideMark/>
          </w:tcPr>
          <w:p w14:paraId="7F477232" w14:textId="77777777" w:rsidR="001F3457" w:rsidRPr="003C0682" w:rsidRDefault="001F3457" w:rsidP="00DD61A7">
            <w:pPr>
              <w:jc w:val="center"/>
              <w:rPr>
                <w:rFonts w:cs="Arial"/>
                <w:b/>
                <w:bCs/>
                <w:color w:val="FFFFFF"/>
                <w:sz w:val="22"/>
                <w:szCs w:val="18"/>
                <w:lang w:eastAsia="en-GB"/>
              </w:rPr>
            </w:pPr>
            <w:r w:rsidRPr="003C0682">
              <w:rPr>
                <w:rFonts w:cs="Arial"/>
                <w:b/>
                <w:bCs/>
                <w:color w:val="FFFFFF"/>
                <w:sz w:val="22"/>
                <w:szCs w:val="18"/>
                <w:lang w:eastAsia="en-GB"/>
              </w:rPr>
              <w:t xml:space="preserve">6 </w:t>
            </w:r>
            <w:proofErr w:type="spellStart"/>
            <w:r w:rsidRPr="003C0682">
              <w:rPr>
                <w:rFonts w:cs="Arial"/>
                <w:b/>
                <w:bCs/>
                <w:color w:val="FFFFFF"/>
                <w:sz w:val="22"/>
                <w:szCs w:val="18"/>
                <w:lang w:eastAsia="en-GB"/>
              </w:rPr>
              <w:t>mth</w:t>
            </w:r>
            <w:proofErr w:type="spellEnd"/>
          </w:p>
        </w:tc>
        <w:tc>
          <w:tcPr>
            <w:tcW w:w="1330" w:type="dxa"/>
            <w:tcBorders>
              <w:top w:val="single" w:sz="8" w:space="0" w:color="auto"/>
              <w:left w:val="nil"/>
              <w:bottom w:val="single" w:sz="8" w:space="0" w:color="auto"/>
              <w:right w:val="single" w:sz="8" w:space="0" w:color="auto"/>
            </w:tcBorders>
            <w:shd w:val="clear" w:color="000000" w:fill="2D2D59"/>
            <w:vAlign w:val="center"/>
            <w:hideMark/>
          </w:tcPr>
          <w:p w14:paraId="72F4F57A" w14:textId="77777777" w:rsidR="001F3457" w:rsidRPr="003C0682" w:rsidRDefault="001F3457" w:rsidP="00DD61A7">
            <w:pPr>
              <w:jc w:val="center"/>
              <w:rPr>
                <w:rFonts w:cs="Arial"/>
                <w:b/>
                <w:bCs/>
                <w:color w:val="FFFFFF"/>
                <w:sz w:val="22"/>
                <w:szCs w:val="18"/>
                <w:lang w:eastAsia="en-GB"/>
              </w:rPr>
            </w:pPr>
            <w:r w:rsidRPr="003C0682">
              <w:rPr>
                <w:rFonts w:cs="Arial"/>
                <w:b/>
                <w:bCs/>
                <w:color w:val="FFFFFF"/>
                <w:sz w:val="22"/>
                <w:szCs w:val="18"/>
                <w:lang w:eastAsia="en-GB"/>
              </w:rPr>
              <w:t xml:space="preserve">12 </w:t>
            </w:r>
            <w:proofErr w:type="spellStart"/>
            <w:r w:rsidRPr="003C0682">
              <w:rPr>
                <w:rFonts w:cs="Arial"/>
                <w:b/>
                <w:bCs/>
                <w:color w:val="FFFFFF"/>
                <w:sz w:val="22"/>
                <w:szCs w:val="18"/>
                <w:lang w:eastAsia="en-GB"/>
              </w:rPr>
              <w:t>mth</w:t>
            </w:r>
            <w:proofErr w:type="spellEnd"/>
          </w:p>
        </w:tc>
      </w:tr>
      <w:tr w:rsidR="001F3457" w:rsidRPr="005D4596" w14:paraId="026673A0" w14:textId="77777777" w:rsidTr="003C0682">
        <w:trPr>
          <w:trHeight w:val="290"/>
        </w:trPr>
        <w:tc>
          <w:tcPr>
            <w:tcW w:w="1432" w:type="dxa"/>
            <w:tcBorders>
              <w:top w:val="nil"/>
              <w:left w:val="single" w:sz="8" w:space="0" w:color="auto"/>
              <w:bottom w:val="single" w:sz="8" w:space="0" w:color="auto"/>
              <w:right w:val="nil"/>
            </w:tcBorders>
            <w:shd w:val="clear" w:color="000000" w:fill="C9CEE8"/>
            <w:vAlign w:val="center"/>
            <w:hideMark/>
          </w:tcPr>
          <w:p w14:paraId="7DF6875B" w14:textId="77777777" w:rsidR="001F3457" w:rsidRPr="003C0682" w:rsidRDefault="001F3457" w:rsidP="00DD61A7">
            <w:pPr>
              <w:rPr>
                <w:rFonts w:cs="Arial"/>
                <w:b/>
                <w:bCs/>
                <w:color w:val="000000"/>
                <w:sz w:val="22"/>
                <w:szCs w:val="18"/>
                <w:lang w:eastAsia="en-GB"/>
              </w:rPr>
            </w:pPr>
            <w:r w:rsidRPr="003C0682">
              <w:rPr>
                <w:rFonts w:cs="Arial"/>
                <w:b/>
                <w:bCs/>
                <w:color w:val="000000"/>
                <w:sz w:val="22"/>
                <w:szCs w:val="18"/>
                <w:lang w:eastAsia="en-GB"/>
              </w:rPr>
              <w:t>High</w:t>
            </w:r>
          </w:p>
        </w:tc>
        <w:tc>
          <w:tcPr>
            <w:tcW w:w="994" w:type="dxa"/>
            <w:tcBorders>
              <w:top w:val="nil"/>
              <w:left w:val="single" w:sz="8" w:space="0" w:color="auto"/>
              <w:bottom w:val="nil"/>
              <w:right w:val="single" w:sz="8" w:space="0" w:color="auto"/>
            </w:tcBorders>
            <w:shd w:val="clear" w:color="auto" w:fill="auto"/>
            <w:noWrap/>
            <w:vAlign w:val="bottom"/>
          </w:tcPr>
          <w:p w14:paraId="75B3BC92"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0.10</w:t>
            </w:r>
          </w:p>
        </w:tc>
        <w:tc>
          <w:tcPr>
            <w:tcW w:w="1330" w:type="dxa"/>
            <w:tcBorders>
              <w:top w:val="nil"/>
              <w:left w:val="nil"/>
              <w:bottom w:val="nil"/>
              <w:right w:val="nil"/>
            </w:tcBorders>
            <w:shd w:val="clear" w:color="auto" w:fill="auto"/>
            <w:noWrap/>
            <w:vAlign w:val="bottom"/>
          </w:tcPr>
          <w:p w14:paraId="0B561977"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0.00</w:t>
            </w:r>
          </w:p>
        </w:tc>
        <w:tc>
          <w:tcPr>
            <w:tcW w:w="1330" w:type="dxa"/>
            <w:tcBorders>
              <w:top w:val="nil"/>
              <w:left w:val="single" w:sz="8" w:space="0" w:color="auto"/>
              <w:bottom w:val="nil"/>
              <w:right w:val="single" w:sz="8" w:space="0" w:color="auto"/>
            </w:tcBorders>
            <w:shd w:val="clear" w:color="auto" w:fill="auto"/>
            <w:noWrap/>
            <w:vAlign w:val="bottom"/>
          </w:tcPr>
          <w:p w14:paraId="011B976B"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0.14</w:t>
            </w:r>
          </w:p>
        </w:tc>
        <w:tc>
          <w:tcPr>
            <w:tcW w:w="1330" w:type="dxa"/>
            <w:tcBorders>
              <w:top w:val="nil"/>
              <w:left w:val="nil"/>
              <w:bottom w:val="nil"/>
              <w:right w:val="nil"/>
            </w:tcBorders>
            <w:shd w:val="clear" w:color="auto" w:fill="auto"/>
            <w:noWrap/>
            <w:vAlign w:val="bottom"/>
          </w:tcPr>
          <w:p w14:paraId="1A8C854B"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0.56</w:t>
            </w:r>
          </w:p>
        </w:tc>
        <w:tc>
          <w:tcPr>
            <w:tcW w:w="1330" w:type="dxa"/>
            <w:tcBorders>
              <w:top w:val="nil"/>
              <w:left w:val="single" w:sz="8" w:space="0" w:color="auto"/>
              <w:bottom w:val="nil"/>
              <w:right w:val="single" w:sz="8" w:space="0" w:color="auto"/>
            </w:tcBorders>
            <w:shd w:val="clear" w:color="auto" w:fill="auto"/>
            <w:noWrap/>
            <w:vAlign w:val="bottom"/>
          </w:tcPr>
          <w:p w14:paraId="1BE2422D"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0.62</w:t>
            </w:r>
          </w:p>
        </w:tc>
        <w:tc>
          <w:tcPr>
            <w:tcW w:w="1330" w:type="dxa"/>
            <w:tcBorders>
              <w:top w:val="nil"/>
              <w:left w:val="nil"/>
              <w:bottom w:val="nil"/>
              <w:right w:val="single" w:sz="8" w:space="0" w:color="auto"/>
            </w:tcBorders>
            <w:shd w:val="clear" w:color="auto" w:fill="auto"/>
            <w:noWrap/>
            <w:vAlign w:val="bottom"/>
          </w:tcPr>
          <w:p w14:paraId="5211729B"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0.77</w:t>
            </w:r>
          </w:p>
        </w:tc>
      </w:tr>
      <w:tr w:rsidR="001F3457" w:rsidRPr="005D4596" w14:paraId="39541E78" w14:textId="77777777" w:rsidTr="003C0682">
        <w:trPr>
          <w:trHeight w:val="290"/>
        </w:trPr>
        <w:tc>
          <w:tcPr>
            <w:tcW w:w="1432" w:type="dxa"/>
            <w:tcBorders>
              <w:top w:val="nil"/>
              <w:left w:val="single" w:sz="8" w:space="0" w:color="auto"/>
              <w:bottom w:val="single" w:sz="8" w:space="0" w:color="auto"/>
              <w:right w:val="nil"/>
            </w:tcBorders>
            <w:shd w:val="clear" w:color="000000" w:fill="C9CEE8"/>
            <w:vAlign w:val="center"/>
            <w:hideMark/>
          </w:tcPr>
          <w:p w14:paraId="2F6E6BB0" w14:textId="77777777" w:rsidR="001F3457" w:rsidRPr="003C0682" w:rsidRDefault="001F3457" w:rsidP="00DD61A7">
            <w:pPr>
              <w:rPr>
                <w:rFonts w:cs="Arial"/>
                <w:b/>
                <w:bCs/>
                <w:color w:val="000000"/>
                <w:sz w:val="22"/>
                <w:szCs w:val="18"/>
                <w:lang w:eastAsia="en-GB"/>
              </w:rPr>
            </w:pPr>
            <w:r w:rsidRPr="003C0682">
              <w:rPr>
                <w:rFonts w:cs="Arial"/>
                <w:b/>
                <w:bCs/>
                <w:color w:val="000000"/>
                <w:sz w:val="22"/>
                <w:szCs w:val="18"/>
                <w:lang w:eastAsia="en-GB"/>
              </w:rPr>
              <w:t>High Date</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25F903"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01/04/2020</w:t>
            </w:r>
          </w:p>
        </w:tc>
        <w:tc>
          <w:tcPr>
            <w:tcW w:w="1330" w:type="dxa"/>
            <w:tcBorders>
              <w:top w:val="single" w:sz="8" w:space="0" w:color="auto"/>
              <w:left w:val="nil"/>
              <w:bottom w:val="single" w:sz="8" w:space="0" w:color="auto"/>
              <w:right w:val="nil"/>
            </w:tcBorders>
            <w:shd w:val="clear" w:color="auto" w:fill="auto"/>
            <w:noWrap/>
            <w:vAlign w:val="bottom"/>
          </w:tcPr>
          <w:p w14:paraId="5DCEA9CD"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02/04/2020</w:t>
            </w:r>
          </w:p>
        </w:tc>
        <w:tc>
          <w:tcPr>
            <w:tcW w:w="13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5502C6"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20/04/2020</w:t>
            </w:r>
          </w:p>
        </w:tc>
        <w:tc>
          <w:tcPr>
            <w:tcW w:w="1330" w:type="dxa"/>
            <w:tcBorders>
              <w:top w:val="single" w:sz="8" w:space="0" w:color="auto"/>
              <w:left w:val="nil"/>
              <w:bottom w:val="single" w:sz="8" w:space="0" w:color="auto"/>
              <w:right w:val="nil"/>
            </w:tcBorders>
            <w:shd w:val="clear" w:color="auto" w:fill="auto"/>
            <w:noWrap/>
            <w:vAlign w:val="bottom"/>
          </w:tcPr>
          <w:p w14:paraId="445855F3"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08/04/2020</w:t>
            </w:r>
          </w:p>
        </w:tc>
        <w:tc>
          <w:tcPr>
            <w:tcW w:w="13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E613F6"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14/04/2020</w:t>
            </w:r>
          </w:p>
        </w:tc>
        <w:tc>
          <w:tcPr>
            <w:tcW w:w="1330" w:type="dxa"/>
            <w:tcBorders>
              <w:top w:val="single" w:sz="8" w:space="0" w:color="auto"/>
              <w:left w:val="nil"/>
              <w:bottom w:val="single" w:sz="8" w:space="0" w:color="auto"/>
              <w:right w:val="single" w:sz="8" w:space="0" w:color="auto"/>
            </w:tcBorders>
            <w:shd w:val="clear" w:color="auto" w:fill="auto"/>
            <w:noWrap/>
            <w:vAlign w:val="bottom"/>
          </w:tcPr>
          <w:p w14:paraId="14987F30"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21/04/2020</w:t>
            </w:r>
          </w:p>
        </w:tc>
      </w:tr>
      <w:tr w:rsidR="001F3457" w:rsidRPr="005D4596" w14:paraId="359045B2" w14:textId="77777777" w:rsidTr="003C0682">
        <w:trPr>
          <w:trHeight w:val="290"/>
        </w:trPr>
        <w:tc>
          <w:tcPr>
            <w:tcW w:w="1432" w:type="dxa"/>
            <w:tcBorders>
              <w:top w:val="nil"/>
              <w:left w:val="single" w:sz="8" w:space="0" w:color="auto"/>
              <w:bottom w:val="single" w:sz="8" w:space="0" w:color="auto"/>
              <w:right w:val="nil"/>
            </w:tcBorders>
            <w:shd w:val="clear" w:color="000000" w:fill="C9CEE8"/>
            <w:vAlign w:val="center"/>
            <w:hideMark/>
          </w:tcPr>
          <w:p w14:paraId="6B21A6C0" w14:textId="77777777" w:rsidR="001F3457" w:rsidRPr="003C0682" w:rsidRDefault="001F3457" w:rsidP="00DD61A7">
            <w:pPr>
              <w:rPr>
                <w:rFonts w:cs="Arial"/>
                <w:b/>
                <w:bCs/>
                <w:color w:val="000000"/>
                <w:sz w:val="22"/>
                <w:szCs w:val="18"/>
                <w:lang w:eastAsia="en-GB"/>
              </w:rPr>
            </w:pPr>
            <w:r w:rsidRPr="003C0682">
              <w:rPr>
                <w:rFonts w:cs="Arial"/>
                <w:b/>
                <w:bCs/>
                <w:color w:val="000000"/>
                <w:sz w:val="22"/>
                <w:szCs w:val="18"/>
                <w:lang w:eastAsia="en-GB"/>
              </w:rPr>
              <w:t>Low</w:t>
            </w:r>
          </w:p>
        </w:tc>
        <w:tc>
          <w:tcPr>
            <w:tcW w:w="994" w:type="dxa"/>
            <w:tcBorders>
              <w:top w:val="nil"/>
              <w:left w:val="single" w:sz="8" w:space="0" w:color="auto"/>
              <w:bottom w:val="nil"/>
              <w:right w:val="single" w:sz="8" w:space="0" w:color="auto"/>
            </w:tcBorders>
            <w:shd w:val="clear" w:color="auto" w:fill="auto"/>
            <w:noWrap/>
            <w:vAlign w:val="bottom"/>
          </w:tcPr>
          <w:p w14:paraId="050706B2"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0.10</w:t>
            </w:r>
          </w:p>
        </w:tc>
        <w:tc>
          <w:tcPr>
            <w:tcW w:w="1330" w:type="dxa"/>
            <w:tcBorders>
              <w:top w:val="nil"/>
              <w:left w:val="nil"/>
              <w:bottom w:val="nil"/>
              <w:right w:val="nil"/>
            </w:tcBorders>
            <w:shd w:val="clear" w:color="auto" w:fill="auto"/>
            <w:noWrap/>
            <w:vAlign w:val="bottom"/>
          </w:tcPr>
          <w:p w14:paraId="7998805A"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-0.10</w:t>
            </w:r>
          </w:p>
        </w:tc>
        <w:tc>
          <w:tcPr>
            <w:tcW w:w="1330" w:type="dxa"/>
            <w:tcBorders>
              <w:top w:val="nil"/>
              <w:left w:val="single" w:sz="8" w:space="0" w:color="auto"/>
              <w:bottom w:val="nil"/>
              <w:right w:val="single" w:sz="8" w:space="0" w:color="auto"/>
            </w:tcBorders>
            <w:shd w:val="clear" w:color="auto" w:fill="auto"/>
            <w:noWrap/>
            <w:vAlign w:val="bottom"/>
          </w:tcPr>
          <w:p w14:paraId="6A80E48B"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-0.11</w:t>
            </w:r>
          </w:p>
        </w:tc>
        <w:tc>
          <w:tcPr>
            <w:tcW w:w="1330" w:type="dxa"/>
            <w:tcBorders>
              <w:top w:val="nil"/>
              <w:left w:val="nil"/>
              <w:bottom w:val="nil"/>
              <w:right w:val="nil"/>
            </w:tcBorders>
            <w:shd w:val="clear" w:color="auto" w:fill="auto"/>
            <w:noWrap/>
            <w:vAlign w:val="bottom"/>
          </w:tcPr>
          <w:p w14:paraId="6DCC9F68"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-0.10</w:t>
            </w:r>
          </w:p>
        </w:tc>
        <w:tc>
          <w:tcPr>
            <w:tcW w:w="1330" w:type="dxa"/>
            <w:tcBorders>
              <w:top w:val="nil"/>
              <w:left w:val="single" w:sz="8" w:space="0" w:color="auto"/>
              <w:bottom w:val="nil"/>
              <w:right w:val="single" w:sz="8" w:space="0" w:color="auto"/>
            </w:tcBorders>
            <w:shd w:val="clear" w:color="auto" w:fill="auto"/>
            <w:noWrap/>
            <w:vAlign w:val="bottom"/>
          </w:tcPr>
          <w:p w14:paraId="5E0C3CBC"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-0.10</w:t>
            </w:r>
          </w:p>
        </w:tc>
        <w:tc>
          <w:tcPr>
            <w:tcW w:w="1330" w:type="dxa"/>
            <w:tcBorders>
              <w:top w:val="nil"/>
              <w:left w:val="nil"/>
              <w:bottom w:val="nil"/>
              <w:right w:val="single" w:sz="8" w:space="0" w:color="auto"/>
            </w:tcBorders>
            <w:shd w:val="clear" w:color="auto" w:fill="auto"/>
            <w:noWrap/>
            <w:vAlign w:val="bottom"/>
          </w:tcPr>
          <w:p w14:paraId="1682DE21"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-0.05</w:t>
            </w:r>
          </w:p>
        </w:tc>
      </w:tr>
      <w:tr w:rsidR="001F3457" w:rsidRPr="005D4596" w14:paraId="2EE483D5" w14:textId="77777777" w:rsidTr="003C0682">
        <w:trPr>
          <w:trHeight w:val="290"/>
        </w:trPr>
        <w:tc>
          <w:tcPr>
            <w:tcW w:w="1432" w:type="dxa"/>
            <w:tcBorders>
              <w:top w:val="nil"/>
              <w:left w:val="single" w:sz="8" w:space="0" w:color="auto"/>
              <w:bottom w:val="single" w:sz="8" w:space="0" w:color="auto"/>
              <w:right w:val="nil"/>
            </w:tcBorders>
            <w:shd w:val="clear" w:color="000000" w:fill="C9CEE8"/>
            <w:vAlign w:val="center"/>
            <w:hideMark/>
          </w:tcPr>
          <w:p w14:paraId="7ACE8FDB" w14:textId="77777777" w:rsidR="001F3457" w:rsidRPr="003C0682" w:rsidRDefault="001F3457" w:rsidP="00DD61A7">
            <w:pPr>
              <w:rPr>
                <w:rFonts w:cs="Arial"/>
                <w:b/>
                <w:bCs/>
                <w:color w:val="000000"/>
                <w:sz w:val="22"/>
                <w:szCs w:val="18"/>
                <w:lang w:eastAsia="en-GB"/>
              </w:rPr>
            </w:pPr>
            <w:r w:rsidRPr="003C0682">
              <w:rPr>
                <w:rFonts w:cs="Arial"/>
                <w:b/>
                <w:bCs/>
                <w:color w:val="000000"/>
                <w:sz w:val="22"/>
                <w:szCs w:val="18"/>
                <w:lang w:eastAsia="en-GB"/>
              </w:rPr>
              <w:t>Low Date</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71CEBA"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01/04/2020</w:t>
            </w:r>
          </w:p>
        </w:tc>
        <w:tc>
          <w:tcPr>
            <w:tcW w:w="1330" w:type="dxa"/>
            <w:tcBorders>
              <w:top w:val="single" w:sz="8" w:space="0" w:color="auto"/>
              <w:left w:val="nil"/>
              <w:bottom w:val="single" w:sz="8" w:space="0" w:color="auto"/>
              <w:right w:val="nil"/>
            </w:tcBorders>
            <w:shd w:val="clear" w:color="auto" w:fill="auto"/>
            <w:noWrap/>
            <w:vAlign w:val="bottom"/>
          </w:tcPr>
          <w:p w14:paraId="66148D4F"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31/12/2020</w:t>
            </w:r>
          </w:p>
        </w:tc>
        <w:tc>
          <w:tcPr>
            <w:tcW w:w="13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7E0470"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29/12/2020</w:t>
            </w:r>
          </w:p>
        </w:tc>
        <w:tc>
          <w:tcPr>
            <w:tcW w:w="1330" w:type="dxa"/>
            <w:tcBorders>
              <w:top w:val="single" w:sz="8" w:space="0" w:color="auto"/>
              <w:left w:val="nil"/>
              <w:bottom w:val="single" w:sz="8" w:space="0" w:color="auto"/>
              <w:right w:val="nil"/>
            </w:tcBorders>
            <w:shd w:val="clear" w:color="auto" w:fill="auto"/>
            <w:noWrap/>
            <w:vAlign w:val="bottom"/>
          </w:tcPr>
          <w:p w14:paraId="267D1661"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23/12/2020</w:t>
            </w:r>
          </w:p>
        </w:tc>
        <w:tc>
          <w:tcPr>
            <w:tcW w:w="13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D04AFA"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21/12/2020</w:t>
            </w:r>
          </w:p>
        </w:tc>
        <w:tc>
          <w:tcPr>
            <w:tcW w:w="1330" w:type="dxa"/>
            <w:tcBorders>
              <w:top w:val="single" w:sz="8" w:space="0" w:color="auto"/>
              <w:left w:val="nil"/>
              <w:bottom w:val="single" w:sz="8" w:space="0" w:color="auto"/>
              <w:right w:val="single" w:sz="8" w:space="0" w:color="auto"/>
            </w:tcBorders>
            <w:shd w:val="clear" w:color="auto" w:fill="auto"/>
            <w:noWrap/>
            <w:vAlign w:val="bottom"/>
          </w:tcPr>
          <w:p w14:paraId="7CD91416"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11/01/2021</w:t>
            </w:r>
          </w:p>
        </w:tc>
      </w:tr>
      <w:tr w:rsidR="001F3457" w:rsidRPr="005D4596" w14:paraId="455B4B1D" w14:textId="77777777" w:rsidTr="003C0682">
        <w:trPr>
          <w:trHeight w:val="309"/>
        </w:trPr>
        <w:tc>
          <w:tcPr>
            <w:tcW w:w="1432" w:type="dxa"/>
            <w:tcBorders>
              <w:top w:val="nil"/>
              <w:left w:val="single" w:sz="8" w:space="0" w:color="auto"/>
              <w:bottom w:val="single" w:sz="8" w:space="0" w:color="auto"/>
              <w:right w:val="nil"/>
            </w:tcBorders>
            <w:shd w:val="clear" w:color="000000" w:fill="C9CEE8"/>
            <w:vAlign w:val="center"/>
            <w:hideMark/>
          </w:tcPr>
          <w:p w14:paraId="0FA25554" w14:textId="77777777" w:rsidR="001F3457" w:rsidRPr="003C0682" w:rsidRDefault="001F3457" w:rsidP="00DD61A7">
            <w:pPr>
              <w:rPr>
                <w:rFonts w:cs="Arial"/>
                <w:b/>
                <w:bCs/>
                <w:color w:val="000000"/>
                <w:sz w:val="22"/>
                <w:szCs w:val="18"/>
                <w:lang w:eastAsia="en-GB"/>
              </w:rPr>
            </w:pPr>
            <w:r w:rsidRPr="003C0682">
              <w:rPr>
                <w:rFonts w:cs="Arial"/>
                <w:b/>
                <w:bCs/>
                <w:color w:val="000000"/>
                <w:sz w:val="22"/>
                <w:szCs w:val="18"/>
                <w:lang w:eastAsia="en-GB"/>
              </w:rPr>
              <w:t>Average</w:t>
            </w:r>
          </w:p>
        </w:tc>
        <w:tc>
          <w:tcPr>
            <w:tcW w:w="994" w:type="dxa"/>
            <w:tcBorders>
              <w:top w:val="nil"/>
              <w:left w:val="single" w:sz="8" w:space="0" w:color="auto"/>
              <w:bottom w:val="single" w:sz="8" w:space="0" w:color="auto"/>
              <w:right w:val="single" w:sz="8" w:space="0" w:color="auto"/>
            </w:tcBorders>
            <w:shd w:val="clear" w:color="auto" w:fill="auto"/>
            <w:noWrap/>
            <w:vAlign w:val="bottom"/>
          </w:tcPr>
          <w:p w14:paraId="61B02DE9"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0.10</w:t>
            </w:r>
          </w:p>
        </w:tc>
        <w:tc>
          <w:tcPr>
            <w:tcW w:w="1330" w:type="dxa"/>
            <w:tcBorders>
              <w:top w:val="nil"/>
              <w:left w:val="nil"/>
              <w:bottom w:val="single" w:sz="8" w:space="0" w:color="auto"/>
              <w:right w:val="nil"/>
            </w:tcBorders>
            <w:shd w:val="clear" w:color="auto" w:fill="auto"/>
            <w:noWrap/>
            <w:vAlign w:val="bottom"/>
          </w:tcPr>
          <w:p w14:paraId="3EDE3EE7"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-0.07</w:t>
            </w:r>
          </w:p>
        </w:tc>
        <w:tc>
          <w:tcPr>
            <w:tcW w:w="1330" w:type="dxa"/>
            <w:tcBorders>
              <w:top w:val="nil"/>
              <w:left w:val="single" w:sz="8" w:space="0" w:color="auto"/>
              <w:bottom w:val="single" w:sz="8" w:space="0" w:color="auto"/>
              <w:right w:val="single" w:sz="8" w:space="0" w:color="auto"/>
            </w:tcBorders>
            <w:shd w:val="clear" w:color="auto" w:fill="auto"/>
            <w:noWrap/>
            <w:vAlign w:val="bottom"/>
          </w:tcPr>
          <w:p w14:paraId="6F1FF609"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-0.05</w:t>
            </w:r>
          </w:p>
        </w:tc>
        <w:tc>
          <w:tcPr>
            <w:tcW w:w="1330" w:type="dxa"/>
            <w:tcBorders>
              <w:top w:val="nil"/>
              <w:left w:val="nil"/>
              <w:bottom w:val="single" w:sz="8" w:space="0" w:color="auto"/>
              <w:right w:val="nil"/>
            </w:tcBorders>
            <w:shd w:val="clear" w:color="auto" w:fill="auto"/>
            <w:noWrap/>
            <w:vAlign w:val="bottom"/>
          </w:tcPr>
          <w:p w14:paraId="382EBA78"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0.01</w:t>
            </w:r>
          </w:p>
        </w:tc>
        <w:tc>
          <w:tcPr>
            <w:tcW w:w="1330" w:type="dxa"/>
            <w:tcBorders>
              <w:top w:val="nil"/>
              <w:left w:val="single" w:sz="8" w:space="0" w:color="auto"/>
              <w:bottom w:val="single" w:sz="8" w:space="0" w:color="auto"/>
              <w:right w:val="single" w:sz="8" w:space="0" w:color="auto"/>
            </w:tcBorders>
            <w:shd w:val="clear" w:color="auto" w:fill="auto"/>
            <w:noWrap/>
            <w:vAlign w:val="bottom"/>
          </w:tcPr>
          <w:p w14:paraId="73B46987"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0.07</w:t>
            </w:r>
          </w:p>
        </w:tc>
        <w:tc>
          <w:tcPr>
            <w:tcW w:w="1330" w:type="dxa"/>
            <w:tcBorders>
              <w:top w:val="nil"/>
              <w:left w:val="nil"/>
              <w:bottom w:val="single" w:sz="8" w:space="0" w:color="auto"/>
              <w:right w:val="single" w:sz="8" w:space="0" w:color="auto"/>
            </w:tcBorders>
            <w:shd w:val="clear" w:color="auto" w:fill="auto"/>
            <w:noWrap/>
            <w:vAlign w:val="bottom"/>
          </w:tcPr>
          <w:p w14:paraId="6B415B5F"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0.17</w:t>
            </w:r>
          </w:p>
        </w:tc>
      </w:tr>
      <w:tr w:rsidR="001F3457" w:rsidRPr="005D4596" w14:paraId="181F490F" w14:textId="77777777" w:rsidTr="003C0682">
        <w:trPr>
          <w:trHeight w:val="290"/>
        </w:trPr>
        <w:tc>
          <w:tcPr>
            <w:tcW w:w="1432" w:type="dxa"/>
            <w:tcBorders>
              <w:top w:val="nil"/>
              <w:left w:val="single" w:sz="8" w:space="0" w:color="auto"/>
              <w:bottom w:val="single" w:sz="8" w:space="0" w:color="auto"/>
              <w:right w:val="nil"/>
            </w:tcBorders>
            <w:shd w:val="clear" w:color="000000" w:fill="C9CEE8"/>
            <w:vAlign w:val="center"/>
            <w:hideMark/>
          </w:tcPr>
          <w:p w14:paraId="5A5D7E43" w14:textId="77777777" w:rsidR="001F3457" w:rsidRPr="003C0682" w:rsidRDefault="001F3457" w:rsidP="00DD61A7">
            <w:pPr>
              <w:rPr>
                <w:rFonts w:cs="Arial"/>
                <w:b/>
                <w:bCs/>
                <w:color w:val="000000"/>
                <w:sz w:val="22"/>
                <w:szCs w:val="18"/>
                <w:lang w:eastAsia="en-GB"/>
              </w:rPr>
            </w:pPr>
            <w:r w:rsidRPr="003C0682">
              <w:rPr>
                <w:rFonts w:cs="Arial"/>
                <w:b/>
                <w:bCs/>
                <w:color w:val="000000"/>
                <w:sz w:val="22"/>
                <w:szCs w:val="18"/>
                <w:lang w:eastAsia="en-GB"/>
              </w:rPr>
              <w:t>Spread</w:t>
            </w:r>
          </w:p>
        </w:tc>
        <w:tc>
          <w:tcPr>
            <w:tcW w:w="994" w:type="dxa"/>
            <w:tcBorders>
              <w:top w:val="nil"/>
              <w:left w:val="single" w:sz="8" w:space="0" w:color="auto"/>
              <w:bottom w:val="single" w:sz="8" w:space="0" w:color="auto"/>
              <w:right w:val="single" w:sz="8" w:space="0" w:color="auto"/>
            </w:tcBorders>
            <w:shd w:val="clear" w:color="auto" w:fill="auto"/>
            <w:noWrap/>
            <w:vAlign w:val="bottom"/>
          </w:tcPr>
          <w:p w14:paraId="4FC1AB4D"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0.00</w:t>
            </w:r>
          </w:p>
        </w:tc>
        <w:tc>
          <w:tcPr>
            <w:tcW w:w="1330" w:type="dxa"/>
            <w:tcBorders>
              <w:top w:val="nil"/>
              <w:left w:val="nil"/>
              <w:bottom w:val="single" w:sz="8" w:space="0" w:color="auto"/>
              <w:right w:val="nil"/>
            </w:tcBorders>
            <w:shd w:val="clear" w:color="auto" w:fill="auto"/>
            <w:noWrap/>
            <w:vAlign w:val="bottom"/>
          </w:tcPr>
          <w:p w14:paraId="53D59671"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0.10</w:t>
            </w:r>
          </w:p>
        </w:tc>
        <w:tc>
          <w:tcPr>
            <w:tcW w:w="1330" w:type="dxa"/>
            <w:tcBorders>
              <w:top w:val="nil"/>
              <w:left w:val="single" w:sz="8" w:space="0" w:color="auto"/>
              <w:bottom w:val="single" w:sz="8" w:space="0" w:color="auto"/>
              <w:right w:val="single" w:sz="8" w:space="0" w:color="auto"/>
            </w:tcBorders>
            <w:shd w:val="clear" w:color="auto" w:fill="auto"/>
            <w:noWrap/>
            <w:vAlign w:val="bottom"/>
          </w:tcPr>
          <w:p w14:paraId="43F9555A"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0.25</w:t>
            </w:r>
          </w:p>
        </w:tc>
        <w:tc>
          <w:tcPr>
            <w:tcW w:w="1330" w:type="dxa"/>
            <w:tcBorders>
              <w:top w:val="nil"/>
              <w:left w:val="nil"/>
              <w:bottom w:val="single" w:sz="8" w:space="0" w:color="auto"/>
              <w:right w:val="nil"/>
            </w:tcBorders>
            <w:shd w:val="clear" w:color="auto" w:fill="auto"/>
            <w:noWrap/>
            <w:vAlign w:val="bottom"/>
          </w:tcPr>
          <w:p w14:paraId="4F4C318A"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0.66</w:t>
            </w:r>
          </w:p>
        </w:tc>
        <w:tc>
          <w:tcPr>
            <w:tcW w:w="1330" w:type="dxa"/>
            <w:tcBorders>
              <w:top w:val="nil"/>
              <w:left w:val="single" w:sz="8" w:space="0" w:color="auto"/>
              <w:bottom w:val="single" w:sz="8" w:space="0" w:color="auto"/>
              <w:right w:val="single" w:sz="8" w:space="0" w:color="auto"/>
            </w:tcBorders>
            <w:shd w:val="clear" w:color="auto" w:fill="auto"/>
            <w:noWrap/>
            <w:vAlign w:val="bottom"/>
          </w:tcPr>
          <w:p w14:paraId="39155ECA"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0.73</w:t>
            </w:r>
          </w:p>
        </w:tc>
        <w:tc>
          <w:tcPr>
            <w:tcW w:w="1330" w:type="dxa"/>
            <w:tcBorders>
              <w:top w:val="nil"/>
              <w:left w:val="nil"/>
              <w:bottom w:val="single" w:sz="8" w:space="0" w:color="auto"/>
              <w:right w:val="single" w:sz="8" w:space="0" w:color="auto"/>
            </w:tcBorders>
            <w:shd w:val="clear" w:color="auto" w:fill="auto"/>
            <w:noWrap/>
            <w:vAlign w:val="bottom"/>
          </w:tcPr>
          <w:p w14:paraId="03E23531" w14:textId="77777777" w:rsidR="001F3457" w:rsidRPr="003C0682" w:rsidRDefault="001F3457" w:rsidP="00DD61A7">
            <w:pPr>
              <w:jc w:val="center"/>
              <w:rPr>
                <w:rFonts w:cs="Arial"/>
                <w:color w:val="000000"/>
                <w:sz w:val="22"/>
                <w:szCs w:val="18"/>
                <w:lang w:eastAsia="en-GB"/>
              </w:rPr>
            </w:pPr>
            <w:r w:rsidRPr="003C0682">
              <w:rPr>
                <w:rFonts w:eastAsia="Bliss 2 Regular" w:cs="Arial"/>
                <w:color w:val="000000"/>
                <w:sz w:val="22"/>
                <w:szCs w:val="18"/>
              </w:rPr>
              <w:t>0.83</w:t>
            </w:r>
          </w:p>
        </w:tc>
      </w:tr>
    </w:tbl>
    <w:p w14:paraId="03427708" w14:textId="77777777" w:rsidR="001F3457" w:rsidRPr="00720085" w:rsidRDefault="001F3457" w:rsidP="001F3457">
      <w:pPr>
        <w:spacing w:after="240"/>
        <w:rPr>
          <w:rFonts w:ascii="Calibri" w:hAnsi="Calibri" w:cs="Arial"/>
          <w:i/>
          <w:color w:val="0D0D0D" w:themeColor="text1" w:themeTint="F2"/>
          <w:sz w:val="22"/>
          <w:szCs w:val="22"/>
        </w:rPr>
      </w:pPr>
    </w:p>
    <w:p w14:paraId="3068EE46" w14:textId="77777777" w:rsidR="001F3457" w:rsidRPr="00C6595B" w:rsidRDefault="001F3457" w:rsidP="00AF66F2">
      <w:pPr>
        <w:jc w:val="both"/>
        <w:rPr>
          <w:b/>
          <w:color w:val="FF0000"/>
          <w:highlight w:val="yellow"/>
          <w:u w:val="single"/>
        </w:rPr>
      </w:pPr>
    </w:p>
    <w:sectPr w:rsidR="001F3457" w:rsidRPr="00C6595B" w:rsidSect="00400629">
      <w:pgSz w:w="11909" w:h="16834" w:code="9"/>
      <w:pgMar w:top="720" w:right="1844" w:bottom="1440" w:left="85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68984" w14:textId="77777777" w:rsidR="00FB687E" w:rsidRDefault="00FB687E">
      <w:r>
        <w:separator/>
      </w:r>
    </w:p>
  </w:endnote>
  <w:endnote w:type="continuationSeparator" w:id="0">
    <w:p w14:paraId="7D532937" w14:textId="77777777" w:rsidR="00FB687E" w:rsidRDefault="00FB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9127" w14:textId="77777777" w:rsidR="00FB687E" w:rsidRDefault="00FB687E">
      <w:r>
        <w:separator/>
      </w:r>
    </w:p>
  </w:footnote>
  <w:footnote w:type="continuationSeparator" w:id="0">
    <w:p w14:paraId="77D8B405" w14:textId="77777777" w:rsidR="00FB687E" w:rsidRDefault="00FB6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279BB"/>
    <w:multiLevelType w:val="hybridMultilevel"/>
    <w:tmpl w:val="B3FEB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5688E"/>
    <w:multiLevelType w:val="hybridMultilevel"/>
    <w:tmpl w:val="6096F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54F40"/>
    <w:multiLevelType w:val="multilevel"/>
    <w:tmpl w:val="3D2AE39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8D12E7E"/>
    <w:multiLevelType w:val="hybridMultilevel"/>
    <w:tmpl w:val="5A722DA6"/>
    <w:lvl w:ilvl="0" w:tplc="0790784C">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72E0E"/>
    <w:multiLevelType w:val="hybridMultilevel"/>
    <w:tmpl w:val="DEAC30D2"/>
    <w:lvl w:ilvl="0" w:tplc="68D07A14">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14FF6"/>
    <w:multiLevelType w:val="hybridMultilevel"/>
    <w:tmpl w:val="1960EC1A"/>
    <w:lvl w:ilvl="0" w:tplc="00BCA90E">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8722A"/>
    <w:multiLevelType w:val="hybridMultilevel"/>
    <w:tmpl w:val="28B035D0"/>
    <w:lvl w:ilvl="0" w:tplc="D7F0B542">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9" w15:restartNumberingAfterBreak="0">
    <w:nsid w:val="2A037B9E"/>
    <w:multiLevelType w:val="hybridMultilevel"/>
    <w:tmpl w:val="425C3F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2B3E23B7"/>
    <w:multiLevelType w:val="multilevel"/>
    <w:tmpl w:val="F40ADF96"/>
    <w:lvl w:ilvl="0">
      <w:start w:val="1"/>
      <w:numFmt w:val="decimal"/>
      <w:lvlText w:val="%1."/>
      <w:lvlJc w:val="left"/>
      <w:pPr>
        <w:tabs>
          <w:tab w:val="num" w:pos="360"/>
        </w:tabs>
        <w:ind w:left="360" w:hanging="360"/>
      </w:pPr>
      <w:rPr>
        <w:rFonts w:ascii="Bliss 2 Regular" w:hAnsi="Bliss 2 Regular" w:cs="Arial" w:hint="default"/>
        <w:b w:val="0"/>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bullet"/>
      <w:lvlText w:val=""/>
      <w:lvlJc w:val="left"/>
      <w:pPr>
        <w:tabs>
          <w:tab w:val="num" w:pos="1980"/>
        </w:tabs>
        <w:ind w:left="1980" w:hanging="360"/>
      </w:pPr>
      <w:rPr>
        <w:rFonts w:ascii="Symbol" w:hAnsi="Symbol" w:hint="default"/>
        <w:b w:val="0"/>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101884"/>
    <w:multiLevelType w:val="hybridMultilevel"/>
    <w:tmpl w:val="4B763D4A"/>
    <w:lvl w:ilvl="0" w:tplc="13E80410">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3558336D"/>
    <w:multiLevelType w:val="hybridMultilevel"/>
    <w:tmpl w:val="74D696B2"/>
    <w:lvl w:ilvl="0" w:tplc="FDE83562">
      <w:start w:val="1"/>
      <w:numFmt w:val="decimal"/>
      <w:lvlText w:val="6.%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85721"/>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9" w15:restartNumberingAfterBreak="0">
    <w:nsid w:val="4C77256B"/>
    <w:multiLevelType w:val="hybridMultilevel"/>
    <w:tmpl w:val="38C0AC4A"/>
    <w:lvl w:ilvl="0" w:tplc="321A60FC">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01FDE"/>
    <w:multiLevelType w:val="hybridMultilevel"/>
    <w:tmpl w:val="DE32E262"/>
    <w:lvl w:ilvl="0" w:tplc="C576CC16">
      <w:start w:val="1"/>
      <w:numFmt w:val="decimal"/>
      <w:lvlText w:val="1.%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DB4613"/>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13A7F"/>
    <w:multiLevelType w:val="hybridMultilevel"/>
    <w:tmpl w:val="65804982"/>
    <w:lvl w:ilvl="0" w:tplc="4942D2B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5F6625DC"/>
    <w:multiLevelType w:val="hybridMultilevel"/>
    <w:tmpl w:val="26C00408"/>
    <w:lvl w:ilvl="0" w:tplc="0FEAC234">
      <w:numFmt w:val="decimal"/>
      <w:lvlText w:val="2.%1"/>
      <w:lvlJc w:val="left"/>
      <w:pPr>
        <w:ind w:left="3905"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3766A2A"/>
    <w:multiLevelType w:val="hybridMultilevel"/>
    <w:tmpl w:val="F502E8E0"/>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1323AE"/>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9" w15:restartNumberingAfterBreak="0">
    <w:nsid w:val="688A3D04"/>
    <w:multiLevelType w:val="hybridMultilevel"/>
    <w:tmpl w:val="E44610EE"/>
    <w:lvl w:ilvl="0" w:tplc="6BF4F57A">
      <w:start w:val="1"/>
      <w:numFmt w:val="decimal"/>
      <w:lvlText w:val="5.%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912212"/>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2DF2AF3"/>
    <w:multiLevelType w:val="multilevel"/>
    <w:tmpl w:val="C180D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8F1257"/>
    <w:multiLevelType w:val="hybridMultilevel"/>
    <w:tmpl w:val="7674B9B6"/>
    <w:lvl w:ilvl="0" w:tplc="25EACADC">
      <w:start w:val="1"/>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19030D"/>
    <w:multiLevelType w:val="hybridMultilevel"/>
    <w:tmpl w:val="86C49304"/>
    <w:lvl w:ilvl="0" w:tplc="186094A8">
      <w:start w:val="1"/>
      <w:numFmt w:val="decimal"/>
      <w:lvlText w:val="7.%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770E54"/>
    <w:multiLevelType w:val="hybridMultilevel"/>
    <w:tmpl w:val="0B9E1050"/>
    <w:lvl w:ilvl="0" w:tplc="08CAB276">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2592C"/>
    <w:multiLevelType w:val="hybridMultilevel"/>
    <w:tmpl w:val="7C40074A"/>
    <w:lvl w:ilvl="0" w:tplc="47808FC8">
      <w:numFmt w:val="decimal"/>
      <w:lvlText w:val="9.%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525C6"/>
    <w:multiLevelType w:val="hybridMultilevel"/>
    <w:tmpl w:val="1DE2B072"/>
    <w:lvl w:ilvl="0" w:tplc="AED8355A">
      <w:start w:val="1"/>
      <w:numFmt w:val="bullet"/>
      <w:lvlText w:val=""/>
      <w:lvlJc w:val="left"/>
      <w:pPr>
        <w:tabs>
          <w:tab w:val="num" w:pos="1440"/>
        </w:tabs>
        <w:ind w:left="1440" w:hanging="360"/>
      </w:pPr>
      <w:rPr>
        <w:rFonts w:ascii="Symbol" w:hAnsi="Symbol" w:hint="default"/>
        <w:sz w:val="16"/>
        <w:szCs w:val="16"/>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F582237"/>
    <w:multiLevelType w:val="hybridMultilevel"/>
    <w:tmpl w:val="72627BD8"/>
    <w:lvl w:ilvl="0" w:tplc="25D021EA">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8"/>
  </w:num>
  <w:num w:numId="6">
    <w:abstractNumId w:val="25"/>
  </w:num>
  <w:num w:numId="7">
    <w:abstractNumId w:val="18"/>
  </w:num>
  <w:num w:numId="8">
    <w:abstractNumId w:val="26"/>
  </w:num>
  <w:num w:numId="9">
    <w:abstractNumId w:val="12"/>
  </w:num>
  <w:num w:numId="10">
    <w:abstractNumId w:val="38"/>
  </w:num>
  <w:num w:numId="11">
    <w:abstractNumId w:val="31"/>
  </w:num>
  <w:num w:numId="12">
    <w:abstractNumId w:val="13"/>
  </w:num>
  <w:num w:numId="13">
    <w:abstractNumId w:val="17"/>
  </w:num>
  <w:num w:numId="14">
    <w:abstractNumId w:val="28"/>
  </w:num>
  <w:num w:numId="15">
    <w:abstractNumId w:val="23"/>
  </w:num>
  <w:num w:numId="16">
    <w:abstractNumId w:val="3"/>
  </w:num>
  <w:num w:numId="17">
    <w:abstractNumId w:val="9"/>
  </w:num>
  <w:num w:numId="18">
    <w:abstractNumId w:val="32"/>
  </w:num>
  <w:num w:numId="19">
    <w:abstractNumId w:val="29"/>
  </w:num>
  <w:num w:numId="20">
    <w:abstractNumId w:val="37"/>
  </w:num>
  <w:num w:numId="21">
    <w:abstractNumId w:val="14"/>
  </w:num>
  <w:num w:numId="22">
    <w:abstractNumId w:val="34"/>
  </w:num>
  <w:num w:numId="23">
    <w:abstractNumId w:val="33"/>
  </w:num>
  <w:num w:numId="24">
    <w:abstractNumId w:val="36"/>
  </w:num>
  <w:num w:numId="25">
    <w:abstractNumId w:val="19"/>
  </w:num>
  <w:num w:numId="26">
    <w:abstractNumId w:val="7"/>
  </w:num>
  <w:num w:numId="27">
    <w:abstractNumId w:val="6"/>
  </w:num>
  <w:num w:numId="28">
    <w:abstractNumId w:val="5"/>
  </w:num>
  <w:num w:numId="29">
    <w:abstractNumId w:val="11"/>
  </w:num>
  <w:num w:numId="30">
    <w:abstractNumId w:val="39"/>
  </w:num>
  <w:num w:numId="31">
    <w:abstractNumId w:val="4"/>
  </w:num>
  <w:num w:numId="32">
    <w:abstractNumId w:val="22"/>
  </w:num>
  <w:num w:numId="33">
    <w:abstractNumId w:val="21"/>
  </w:num>
  <w:num w:numId="34">
    <w:abstractNumId w:val="30"/>
  </w:num>
  <w:num w:numId="35">
    <w:abstractNumId w:val="35"/>
  </w:num>
  <w:num w:numId="36">
    <w:abstractNumId w:val="1"/>
  </w:num>
  <w:num w:numId="37">
    <w:abstractNumId w:val="10"/>
  </w:num>
  <w:num w:numId="38">
    <w:abstractNumId w:val="20"/>
  </w:num>
  <w:num w:numId="39">
    <w:abstractNumId w:val="2"/>
  </w:num>
  <w:num w:numId="4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4286"/>
    <w:rsid w:val="000058C5"/>
    <w:rsid w:val="00005F26"/>
    <w:rsid w:val="00012758"/>
    <w:rsid w:val="00013D39"/>
    <w:rsid w:val="000142E6"/>
    <w:rsid w:val="0001555A"/>
    <w:rsid w:val="000176F7"/>
    <w:rsid w:val="00021610"/>
    <w:rsid w:val="00021CD0"/>
    <w:rsid w:val="00022532"/>
    <w:rsid w:val="00024A5C"/>
    <w:rsid w:val="000279A2"/>
    <w:rsid w:val="00027ED7"/>
    <w:rsid w:val="0003222D"/>
    <w:rsid w:val="00032BAF"/>
    <w:rsid w:val="000358A6"/>
    <w:rsid w:val="00035F2C"/>
    <w:rsid w:val="0003669D"/>
    <w:rsid w:val="00036704"/>
    <w:rsid w:val="000368EA"/>
    <w:rsid w:val="00040241"/>
    <w:rsid w:val="0004029A"/>
    <w:rsid w:val="0004368A"/>
    <w:rsid w:val="000445B8"/>
    <w:rsid w:val="00045E83"/>
    <w:rsid w:val="00046812"/>
    <w:rsid w:val="00047A9E"/>
    <w:rsid w:val="00055177"/>
    <w:rsid w:val="0006034E"/>
    <w:rsid w:val="00061479"/>
    <w:rsid w:val="000626B0"/>
    <w:rsid w:val="00063783"/>
    <w:rsid w:val="00063D00"/>
    <w:rsid w:val="000645AE"/>
    <w:rsid w:val="00070FDB"/>
    <w:rsid w:val="00071D3E"/>
    <w:rsid w:val="00072CAD"/>
    <w:rsid w:val="00072D88"/>
    <w:rsid w:val="000735B3"/>
    <w:rsid w:val="00073765"/>
    <w:rsid w:val="00073986"/>
    <w:rsid w:val="00074AE3"/>
    <w:rsid w:val="0007562B"/>
    <w:rsid w:val="00075ABD"/>
    <w:rsid w:val="00076D24"/>
    <w:rsid w:val="000800ED"/>
    <w:rsid w:val="00082F83"/>
    <w:rsid w:val="00083283"/>
    <w:rsid w:val="000860A6"/>
    <w:rsid w:val="0008678F"/>
    <w:rsid w:val="00087368"/>
    <w:rsid w:val="00091547"/>
    <w:rsid w:val="000929A6"/>
    <w:rsid w:val="00094111"/>
    <w:rsid w:val="00096A83"/>
    <w:rsid w:val="000A2CB3"/>
    <w:rsid w:val="000A2CD5"/>
    <w:rsid w:val="000B02BB"/>
    <w:rsid w:val="000B1936"/>
    <w:rsid w:val="000B1FC8"/>
    <w:rsid w:val="000B22FE"/>
    <w:rsid w:val="000B2B9F"/>
    <w:rsid w:val="000B5015"/>
    <w:rsid w:val="000B788F"/>
    <w:rsid w:val="000C0031"/>
    <w:rsid w:val="000C14C0"/>
    <w:rsid w:val="000C1F7B"/>
    <w:rsid w:val="000C2074"/>
    <w:rsid w:val="000C292F"/>
    <w:rsid w:val="000C2B5C"/>
    <w:rsid w:val="000C4E42"/>
    <w:rsid w:val="000D0977"/>
    <w:rsid w:val="000D3E5A"/>
    <w:rsid w:val="000D4E36"/>
    <w:rsid w:val="000D66AA"/>
    <w:rsid w:val="000D6CA4"/>
    <w:rsid w:val="000E2CBE"/>
    <w:rsid w:val="000E543F"/>
    <w:rsid w:val="000E62FE"/>
    <w:rsid w:val="000F048D"/>
    <w:rsid w:val="000F1E8A"/>
    <w:rsid w:val="000F2441"/>
    <w:rsid w:val="000F31C9"/>
    <w:rsid w:val="000F39CA"/>
    <w:rsid w:val="000F67D8"/>
    <w:rsid w:val="00101FE5"/>
    <w:rsid w:val="001025AD"/>
    <w:rsid w:val="0010279C"/>
    <w:rsid w:val="0010385F"/>
    <w:rsid w:val="00104F2B"/>
    <w:rsid w:val="00106C08"/>
    <w:rsid w:val="001161E4"/>
    <w:rsid w:val="00116B3F"/>
    <w:rsid w:val="001244A9"/>
    <w:rsid w:val="00125A26"/>
    <w:rsid w:val="00125E91"/>
    <w:rsid w:val="00131F12"/>
    <w:rsid w:val="001323E0"/>
    <w:rsid w:val="00135321"/>
    <w:rsid w:val="00140199"/>
    <w:rsid w:val="0014039C"/>
    <w:rsid w:val="0014207C"/>
    <w:rsid w:val="00142A38"/>
    <w:rsid w:val="00142AC9"/>
    <w:rsid w:val="001441E8"/>
    <w:rsid w:val="001456E7"/>
    <w:rsid w:val="0015034B"/>
    <w:rsid w:val="001509F2"/>
    <w:rsid w:val="00152ABB"/>
    <w:rsid w:val="0015376F"/>
    <w:rsid w:val="00154218"/>
    <w:rsid w:val="001546BF"/>
    <w:rsid w:val="001560D1"/>
    <w:rsid w:val="00157B60"/>
    <w:rsid w:val="001614E0"/>
    <w:rsid w:val="00161FB7"/>
    <w:rsid w:val="00162CDA"/>
    <w:rsid w:val="0016506B"/>
    <w:rsid w:val="00166170"/>
    <w:rsid w:val="00166B73"/>
    <w:rsid w:val="00167048"/>
    <w:rsid w:val="00167715"/>
    <w:rsid w:val="00167F0A"/>
    <w:rsid w:val="00171BD8"/>
    <w:rsid w:val="00176056"/>
    <w:rsid w:val="0017653E"/>
    <w:rsid w:val="001808A0"/>
    <w:rsid w:val="00180CCF"/>
    <w:rsid w:val="00181FFD"/>
    <w:rsid w:val="0018254B"/>
    <w:rsid w:val="00182B01"/>
    <w:rsid w:val="001840D2"/>
    <w:rsid w:val="0018435A"/>
    <w:rsid w:val="00187F3F"/>
    <w:rsid w:val="00190CC7"/>
    <w:rsid w:val="00193CDA"/>
    <w:rsid w:val="001966D7"/>
    <w:rsid w:val="0019702E"/>
    <w:rsid w:val="001A0FF1"/>
    <w:rsid w:val="001A4359"/>
    <w:rsid w:val="001A4915"/>
    <w:rsid w:val="001A4ABA"/>
    <w:rsid w:val="001A6DAD"/>
    <w:rsid w:val="001A7591"/>
    <w:rsid w:val="001B0EBB"/>
    <w:rsid w:val="001B3CD4"/>
    <w:rsid w:val="001B5082"/>
    <w:rsid w:val="001B7238"/>
    <w:rsid w:val="001C2ADC"/>
    <w:rsid w:val="001C4034"/>
    <w:rsid w:val="001C4D2E"/>
    <w:rsid w:val="001C50CB"/>
    <w:rsid w:val="001C512F"/>
    <w:rsid w:val="001C5207"/>
    <w:rsid w:val="001C7E35"/>
    <w:rsid w:val="001D0544"/>
    <w:rsid w:val="001D14F0"/>
    <w:rsid w:val="001D341B"/>
    <w:rsid w:val="001D3587"/>
    <w:rsid w:val="001D7456"/>
    <w:rsid w:val="001D7F5C"/>
    <w:rsid w:val="001E02FE"/>
    <w:rsid w:val="001E13BF"/>
    <w:rsid w:val="001E2104"/>
    <w:rsid w:val="001E3C06"/>
    <w:rsid w:val="001E4DFE"/>
    <w:rsid w:val="001E6692"/>
    <w:rsid w:val="001E7BD7"/>
    <w:rsid w:val="001F0037"/>
    <w:rsid w:val="001F0A34"/>
    <w:rsid w:val="001F0BE9"/>
    <w:rsid w:val="001F0FE8"/>
    <w:rsid w:val="001F17DE"/>
    <w:rsid w:val="001F1922"/>
    <w:rsid w:val="001F3457"/>
    <w:rsid w:val="001F5350"/>
    <w:rsid w:val="001F7DB0"/>
    <w:rsid w:val="00202D79"/>
    <w:rsid w:val="00205828"/>
    <w:rsid w:val="00205D2F"/>
    <w:rsid w:val="0020600A"/>
    <w:rsid w:val="0020702E"/>
    <w:rsid w:val="00210E08"/>
    <w:rsid w:val="00213F4C"/>
    <w:rsid w:val="002145D1"/>
    <w:rsid w:val="002149E3"/>
    <w:rsid w:val="00215E8F"/>
    <w:rsid w:val="002209D6"/>
    <w:rsid w:val="00220ABB"/>
    <w:rsid w:val="002213B1"/>
    <w:rsid w:val="00221D9F"/>
    <w:rsid w:val="00224B08"/>
    <w:rsid w:val="00224E19"/>
    <w:rsid w:val="0022747D"/>
    <w:rsid w:val="00231850"/>
    <w:rsid w:val="002322BB"/>
    <w:rsid w:val="00233A07"/>
    <w:rsid w:val="002368AA"/>
    <w:rsid w:val="0023702C"/>
    <w:rsid w:val="00237943"/>
    <w:rsid w:val="00241CC8"/>
    <w:rsid w:val="00250FEF"/>
    <w:rsid w:val="00251254"/>
    <w:rsid w:val="00253051"/>
    <w:rsid w:val="002548D1"/>
    <w:rsid w:val="0026277B"/>
    <w:rsid w:val="002656C8"/>
    <w:rsid w:val="00271F91"/>
    <w:rsid w:val="0027283B"/>
    <w:rsid w:val="00273559"/>
    <w:rsid w:val="00274392"/>
    <w:rsid w:val="0028019B"/>
    <w:rsid w:val="00283CAB"/>
    <w:rsid w:val="00286C92"/>
    <w:rsid w:val="00287370"/>
    <w:rsid w:val="00287A95"/>
    <w:rsid w:val="00290F2F"/>
    <w:rsid w:val="0029107D"/>
    <w:rsid w:val="00291123"/>
    <w:rsid w:val="00291911"/>
    <w:rsid w:val="00292AEE"/>
    <w:rsid w:val="00293255"/>
    <w:rsid w:val="002943AC"/>
    <w:rsid w:val="00294AE9"/>
    <w:rsid w:val="002A0238"/>
    <w:rsid w:val="002A3FEF"/>
    <w:rsid w:val="002A4F0E"/>
    <w:rsid w:val="002B36BB"/>
    <w:rsid w:val="002B48A0"/>
    <w:rsid w:val="002B4A5D"/>
    <w:rsid w:val="002B54A6"/>
    <w:rsid w:val="002C4D4D"/>
    <w:rsid w:val="002C5BD7"/>
    <w:rsid w:val="002C7234"/>
    <w:rsid w:val="002C795A"/>
    <w:rsid w:val="002D0036"/>
    <w:rsid w:val="002D1874"/>
    <w:rsid w:val="002D255B"/>
    <w:rsid w:val="002D275F"/>
    <w:rsid w:val="002D4934"/>
    <w:rsid w:val="002D522E"/>
    <w:rsid w:val="002E1088"/>
    <w:rsid w:val="002E12CA"/>
    <w:rsid w:val="002E1DF4"/>
    <w:rsid w:val="002E1E8D"/>
    <w:rsid w:val="002E3DD5"/>
    <w:rsid w:val="002E629A"/>
    <w:rsid w:val="002E6C2F"/>
    <w:rsid w:val="002E74FA"/>
    <w:rsid w:val="002F388E"/>
    <w:rsid w:val="002F3EE9"/>
    <w:rsid w:val="002F6F08"/>
    <w:rsid w:val="002F797F"/>
    <w:rsid w:val="003001F1"/>
    <w:rsid w:val="00302474"/>
    <w:rsid w:val="0030377A"/>
    <w:rsid w:val="00303946"/>
    <w:rsid w:val="00304193"/>
    <w:rsid w:val="003065D6"/>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BDE"/>
    <w:rsid w:val="00333FAA"/>
    <w:rsid w:val="003355D7"/>
    <w:rsid w:val="0033656D"/>
    <w:rsid w:val="00337D78"/>
    <w:rsid w:val="00340394"/>
    <w:rsid w:val="00345876"/>
    <w:rsid w:val="003465B3"/>
    <w:rsid w:val="00346EEB"/>
    <w:rsid w:val="003472CA"/>
    <w:rsid w:val="003521BC"/>
    <w:rsid w:val="0035290A"/>
    <w:rsid w:val="00353DC3"/>
    <w:rsid w:val="0035555F"/>
    <w:rsid w:val="0035780C"/>
    <w:rsid w:val="0036201C"/>
    <w:rsid w:val="003625E3"/>
    <w:rsid w:val="003634DA"/>
    <w:rsid w:val="003663FE"/>
    <w:rsid w:val="00366E76"/>
    <w:rsid w:val="003678C0"/>
    <w:rsid w:val="0037216F"/>
    <w:rsid w:val="00373E7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222F"/>
    <w:rsid w:val="003B0005"/>
    <w:rsid w:val="003B07A5"/>
    <w:rsid w:val="003B0B81"/>
    <w:rsid w:val="003B2B91"/>
    <w:rsid w:val="003B3385"/>
    <w:rsid w:val="003B3BC2"/>
    <w:rsid w:val="003B445A"/>
    <w:rsid w:val="003C0682"/>
    <w:rsid w:val="003C21F4"/>
    <w:rsid w:val="003C4532"/>
    <w:rsid w:val="003C54FD"/>
    <w:rsid w:val="003C68E4"/>
    <w:rsid w:val="003C7A65"/>
    <w:rsid w:val="003D275F"/>
    <w:rsid w:val="003D291D"/>
    <w:rsid w:val="003D2E0C"/>
    <w:rsid w:val="003D4346"/>
    <w:rsid w:val="003D56ED"/>
    <w:rsid w:val="003D7AB8"/>
    <w:rsid w:val="003E2127"/>
    <w:rsid w:val="003E367E"/>
    <w:rsid w:val="003E3ABA"/>
    <w:rsid w:val="003E56AE"/>
    <w:rsid w:val="003F2777"/>
    <w:rsid w:val="003F2C5D"/>
    <w:rsid w:val="003F3AFD"/>
    <w:rsid w:val="003F756D"/>
    <w:rsid w:val="003F77BB"/>
    <w:rsid w:val="00400629"/>
    <w:rsid w:val="004029CC"/>
    <w:rsid w:val="00403304"/>
    <w:rsid w:val="004076C8"/>
    <w:rsid w:val="004128EA"/>
    <w:rsid w:val="00413458"/>
    <w:rsid w:val="004147C5"/>
    <w:rsid w:val="004153B6"/>
    <w:rsid w:val="004177DA"/>
    <w:rsid w:val="004207E3"/>
    <w:rsid w:val="00421A4C"/>
    <w:rsid w:val="0042308A"/>
    <w:rsid w:val="004238C2"/>
    <w:rsid w:val="0042469F"/>
    <w:rsid w:val="00427B10"/>
    <w:rsid w:val="004325F9"/>
    <w:rsid w:val="0043268A"/>
    <w:rsid w:val="00433A35"/>
    <w:rsid w:val="00435B5D"/>
    <w:rsid w:val="004363F7"/>
    <w:rsid w:val="00436A0B"/>
    <w:rsid w:val="004409DB"/>
    <w:rsid w:val="0044525C"/>
    <w:rsid w:val="0044683D"/>
    <w:rsid w:val="00447352"/>
    <w:rsid w:val="0045387F"/>
    <w:rsid w:val="004553F1"/>
    <w:rsid w:val="0045548A"/>
    <w:rsid w:val="0045655D"/>
    <w:rsid w:val="00460592"/>
    <w:rsid w:val="00466197"/>
    <w:rsid w:val="00467517"/>
    <w:rsid w:val="00471C1F"/>
    <w:rsid w:val="00472810"/>
    <w:rsid w:val="00475834"/>
    <w:rsid w:val="004809FA"/>
    <w:rsid w:val="00481735"/>
    <w:rsid w:val="0048175C"/>
    <w:rsid w:val="00482AE7"/>
    <w:rsid w:val="004863F0"/>
    <w:rsid w:val="00487CDB"/>
    <w:rsid w:val="00492118"/>
    <w:rsid w:val="0049471D"/>
    <w:rsid w:val="00494906"/>
    <w:rsid w:val="00495315"/>
    <w:rsid w:val="004962B1"/>
    <w:rsid w:val="0049688D"/>
    <w:rsid w:val="00496F06"/>
    <w:rsid w:val="004A1570"/>
    <w:rsid w:val="004A1914"/>
    <w:rsid w:val="004A1E2D"/>
    <w:rsid w:val="004A72AA"/>
    <w:rsid w:val="004A72C4"/>
    <w:rsid w:val="004B2834"/>
    <w:rsid w:val="004B4A22"/>
    <w:rsid w:val="004C0103"/>
    <w:rsid w:val="004C08EA"/>
    <w:rsid w:val="004C4A75"/>
    <w:rsid w:val="004C5ADB"/>
    <w:rsid w:val="004C5DDA"/>
    <w:rsid w:val="004C6C48"/>
    <w:rsid w:val="004D2DA0"/>
    <w:rsid w:val="004D700A"/>
    <w:rsid w:val="004E14A4"/>
    <w:rsid w:val="004E16FA"/>
    <w:rsid w:val="004E3365"/>
    <w:rsid w:val="004E536E"/>
    <w:rsid w:val="004E537F"/>
    <w:rsid w:val="004E6609"/>
    <w:rsid w:val="004E719D"/>
    <w:rsid w:val="004E7D57"/>
    <w:rsid w:val="004F0BF8"/>
    <w:rsid w:val="004F19F0"/>
    <w:rsid w:val="004F54BD"/>
    <w:rsid w:val="004F56C5"/>
    <w:rsid w:val="004F6F3C"/>
    <w:rsid w:val="004F7439"/>
    <w:rsid w:val="005002A9"/>
    <w:rsid w:val="00501E74"/>
    <w:rsid w:val="00503384"/>
    <w:rsid w:val="005041C2"/>
    <w:rsid w:val="005054F7"/>
    <w:rsid w:val="005078C2"/>
    <w:rsid w:val="00507F19"/>
    <w:rsid w:val="0051010C"/>
    <w:rsid w:val="00510718"/>
    <w:rsid w:val="005129D2"/>
    <w:rsid w:val="00513EC1"/>
    <w:rsid w:val="00514C91"/>
    <w:rsid w:val="005178DB"/>
    <w:rsid w:val="00517C7D"/>
    <w:rsid w:val="005223FE"/>
    <w:rsid w:val="00522D5D"/>
    <w:rsid w:val="0052515D"/>
    <w:rsid w:val="00525C08"/>
    <w:rsid w:val="005262CD"/>
    <w:rsid w:val="00531CAE"/>
    <w:rsid w:val="005354D0"/>
    <w:rsid w:val="00535922"/>
    <w:rsid w:val="00537469"/>
    <w:rsid w:val="0054172C"/>
    <w:rsid w:val="0054323D"/>
    <w:rsid w:val="00543B07"/>
    <w:rsid w:val="0054590F"/>
    <w:rsid w:val="005459EC"/>
    <w:rsid w:val="00547729"/>
    <w:rsid w:val="00550E7A"/>
    <w:rsid w:val="00551A97"/>
    <w:rsid w:val="00552794"/>
    <w:rsid w:val="00555A6E"/>
    <w:rsid w:val="0055673A"/>
    <w:rsid w:val="0055724E"/>
    <w:rsid w:val="0055733D"/>
    <w:rsid w:val="00560DEF"/>
    <w:rsid w:val="00562685"/>
    <w:rsid w:val="0056344D"/>
    <w:rsid w:val="00563F4C"/>
    <w:rsid w:val="005641E0"/>
    <w:rsid w:val="00566489"/>
    <w:rsid w:val="00566F47"/>
    <w:rsid w:val="00567953"/>
    <w:rsid w:val="005709FA"/>
    <w:rsid w:val="005718B5"/>
    <w:rsid w:val="00571FB4"/>
    <w:rsid w:val="0057297F"/>
    <w:rsid w:val="00574596"/>
    <w:rsid w:val="00574F6C"/>
    <w:rsid w:val="005777E4"/>
    <w:rsid w:val="005808FB"/>
    <w:rsid w:val="00581486"/>
    <w:rsid w:val="00582605"/>
    <w:rsid w:val="005849F4"/>
    <w:rsid w:val="005854AF"/>
    <w:rsid w:val="00590489"/>
    <w:rsid w:val="00591016"/>
    <w:rsid w:val="00593F3C"/>
    <w:rsid w:val="005A045F"/>
    <w:rsid w:val="005A4F77"/>
    <w:rsid w:val="005A639A"/>
    <w:rsid w:val="005B0A85"/>
    <w:rsid w:val="005B0B45"/>
    <w:rsid w:val="005B3414"/>
    <w:rsid w:val="005B3F67"/>
    <w:rsid w:val="005B6114"/>
    <w:rsid w:val="005B6656"/>
    <w:rsid w:val="005B6671"/>
    <w:rsid w:val="005C1709"/>
    <w:rsid w:val="005C2738"/>
    <w:rsid w:val="005C295F"/>
    <w:rsid w:val="005C7899"/>
    <w:rsid w:val="005D0571"/>
    <w:rsid w:val="005D3E95"/>
    <w:rsid w:val="005D40CF"/>
    <w:rsid w:val="005D45AE"/>
    <w:rsid w:val="005D4911"/>
    <w:rsid w:val="005D548F"/>
    <w:rsid w:val="005D55FF"/>
    <w:rsid w:val="005D6161"/>
    <w:rsid w:val="005D6EF5"/>
    <w:rsid w:val="005D73B5"/>
    <w:rsid w:val="005E2FCC"/>
    <w:rsid w:val="005E3A10"/>
    <w:rsid w:val="005E4BA2"/>
    <w:rsid w:val="005E6695"/>
    <w:rsid w:val="005E7509"/>
    <w:rsid w:val="005F00A6"/>
    <w:rsid w:val="005F1E92"/>
    <w:rsid w:val="005F499E"/>
    <w:rsid w:val="00603BA2"/>
    <w:rsid w:val="00604E7A"/>
    <w:rsid w:val="00604F47"/>
    <w:rsid w:val="00605ED6"/>
    <w:rsid w:val="00607E22"/>
    <w:rsid w:val="006102CA"/>
    <w:rsid w:val="00613DAE"/>
    <w:rsid w:val="0061781A"/>
    <w:rsid w:val="0061783E"/>
    <w:rsid w:val="006226AE"/>
    <w:rsid w:val="00622FD5"/>
    <w:rsid w:val="006230CB"/>
    <w:rsid w:val="006238A9"/>
    <w:rsid w:val="006246C9"/>
    <w:rsid w:val="00626B92"/>
    <w:rsid w:val="00627E6E"/>
    <w:rsid w:val="00633771"/>
    <w:rsid w:val="006337F6"/>
    <w:rsid w:val="00635966"/>
    <w:rsid w:val="00636159"/>
    <w:rsid w:val="00636DE4"/>
    <w:rsid w:val="00640148"/>
    <w:rsid w:val="00641828"/>
    <w:rsid w:val="00641EF9"/>
    <w:rsid w:val="006424FA"/>
    <w:rsid w:val="00643710"/>
    <w:rsid w:val="00645B8B"/>
    <w:rsid w:val="00647599"/>
    <w:rsid w:val="00650E15"/>
    <w:rsid w:val="006530E4"/>
    <w:rsid w:val="00654ABC"/>
    <w:rsid w:val="00655044"/>
    <w:rsid w:val="006617AD"/>
    <w:rsid w:val="006632EF"/>
    <w:rsid w:val="00663771"/>
    <w:rsid w:val="006653F7"/>
    <w:rsid w:val="00666922"/>
    <w:rsid w:val="00670F17"/>
    <w:rsid w:val="006710C7"/>
    <w:rsid w:val="006716EB"/>
    <w:rsid w:val="00672697"/>
    <w:rsid w:val="006739F8"/>
    <w:rsid w:val="00674E2D"/>
    <w:rsid w:val="00675F21"/>
    <w:rsid w:val="00676BE8"/>
    <w:rsid w:val="00677EC3"/>
    <w:rsid w:val="00685880"/>
    <w:rsid w:val="00685F8B"/>
    <w:rsid w:val="006878EF"/>
    <w:rsid w:val="00687CA0"/>
    <w:rsid w:val="00690337"/>
    <w:rsid w:val="00693C15"/>
    <w:rsid w:val="006964E3"/>
    <w:rsid w:val="00696A83"/>
    <w:rsid w:val="0069703C"/>
    <w:rsid w:val="006A200B"/>
    <w:rsid w:val="006A27CD"/>
    <w:rsid w:val="006A506A"/>
    <w:rsid w:val="006B0184"/>
    <w:rsid w:val="006B1286"/>
    <w:rsid w:val="006B3297"/>
    <w:rsid w:val="006B6BC5"/>
    <w:rsid w:val="006B7DEF"/>
    <w:rsid w:val="006B7F6A"/>
    <w:rsid w:val="006C4484"/>
    <w:rsid w:val="006C580A"/>
    <w:rsid w:val="006C5ED7"/>
    <w:rsid w:val="006C6B72"/>
    <w:rsid w:val="006D1E69"/>
    <w:rsid w:val="006D376F"/>
    <w:rsid w:val="006D3BD9"/>
    <w:rsid w:val="006D627B"/>
    <w:rsid w:val="006D67FB"/>
    <w:rsid w:val="006E20C9"/>
    <w:rsid w:val="006E4E0C"/>
    <w:rsid w:val="006E608B"/>
    <w:rsid w:val="006F057C"/>
    <w:rsid w:val="006F1A4C"/>
    <w:rsid w:val="006F22DA"/>
    <w:rsid w:val="006F2EB3"/>
    <w:rsid w:val="006F3BB5"/>
    <w:rsid w:val="006F61E1"/>
    <w:rsid w:val="006F6988"/>
    <w:rsid w:val="00703AC2"/>
    <w:rsid w:val="00703EAC"/>
    <w:rsid w:val="007049C1"/>
    <w:rsid w:val="00705694"/>
    <w:rsid w:val="00707EA4"/>
    <w:rsid w:val="00710E25"/>
    <w:rsid w:val="007116B1"/>
    <w:rsid w:val="007123C2"/>
    <w:rsid w:val="00714BEE"/>
    <w:rsid w:val="007150B2"/>
    <w:rsid w:val="007163A8"/>
    <w:rsid w:val="00720AC6"/>
    <w:rsid w:val="00721215"/>
    <w:rsid w:val="0072367F"/>
    <w:rsid w:val="00723BA5"/>
    <w:rsid w:val="00725DAB"/>
    <w:rsid w:val="00731669"/>
    <w:rsid w:val="007323B9"/>
    <w:rsid w:val="0073378D"/>
    <w:rsid w:val="007347CA"/>
    <w:rsid w:val="00735827"/>
    <w:rsid w:val="0073664B"/>
    <w:rsid w:val="007372EA"/>
    <w:rsid w:val="007373F9"/>
    <w:rsid w:val="007400CF"/>
    <w:rsid w:val="00745F89"/>
    <w:rsid w:val="00747A26"/>
    <w:rsid w:val="00747AAF"/>
    <w:rsid w:val="007518BE"/>
    <w:rsid w:val="007529DD"/>
    <w:rsid w:val="00752C7F"/>
    <w:rsid w:val="00753668"/>
    <w:rsid w:val="00754BFA"/>
    <w:rsid w:val="00755B7D"/>
    <w:rsid w:val="007566B2"/>
    <w:rsid w:val="007567D8"/>
    <w:rsid w:val="0076086B"/>
    <w:rsid w:val="007608E1"/>
    <w:rsid w:val="007647E7"/>
    <w:rsid w:val="00767501"/>
    <w:rsid w:val="007675BE"/>
    <w:rsid w:val="00773028"/>
    <w:rsid w:val="00782198"/>
    <w:rsid w:val="00786C4E"/>
    <w:rsid w:val="00790171"/>
    <w:rsid w:val="00790FC2"/>
    <w:rsid w:val="00791520"/>
    <w:rsid w:val="007919FF"/>
    <w:rsid w:val="007935C5"/>
    <w:rsid w:val="00795096"/>
    <w:rsid w:val="00795B93"/>
    <w:rsid w:val="007965C1"/>
    <w:rsid w:val="00796C25"/>
    <w:rsid w:val="00796E32"/>
    <w:rsid w:val="007A2971"/>
    <w:rsid w:val="007A3D66"/>
    <w:rsid w:val="007A7B72"/>
    <w:rsid w:val="007B11AF"/>
    <w:rsid w:val="007B23FC"/>
    <w:rsid w:val="007C0D59"/>
    <w:rsid w:val="007C28B4"/>
    <w:rsid w:val="007C2C6D"/>
    <w:rsid w:val="007C38F9"/>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445"/>
    <w:rsid w:val="007F4C91"/>
    <w:rsid w:val="007F5646"/>
    <w:rsid w:val="007F598E"/>
    <w:rsid w:val="00800A69"/>
    <w:rsid w:val="00800D4F"/>
    <w:rsid w:val="00802D8D"/>
    <w:rsid w:val="00803104"/>
    <w:rsid w:val="008034BB"/>
    <w:rsid w:val="00806807"/>
    <w:rsid w:val="00807134"/>
    <w:rsid w:val="00807F64"/>
    <w:rsid w:val="008104FD"/>
    <w:rsid w:val="00812901"/>
    <w:rsid w:val="00813AB0"/>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5266D"/>
    <w:rsid w:val="00854BE1"/>
    <w:rsid w:val="00855723"/>
    <w:rsid w:val="008567F1"/>
    <w:rsid w:val="00860FB9"/>
    <w:rsid w:val="00862E6C"/>
    <w:rsid w:val="00866A99"/>
    <w:rsid w:val="00867DDC"/>
    <w:rsid w:val="0087055B"/>
    <w:rsid w:val="008711C4"/>
    <w:rsid w:val="00876F40"/>
    <w:rsid w:val="00877948"/>
    <w:rsid w:val="00877B4A"/>
    <w:rsid w:val="008816D8"/>
    <w:rsid w:val="00881922"/>
    <w:rsid w:val="008837A9"/>
    <w:rsid w:val="008867EF"/>
    <w:rsid w:val="0089102A"/>
    <w:rsid w:val="00892B68"/>
    <w:rsid w:val="00893DE8"/>
    <w:rsid w:val="008940FC"/>
    <w:rsid w:val="00894C59"/>
    <w:rsid w:val="008977B2"/>
    <w:rsid w:val="008A1A78"/>
    <w:rsid w:val="008A39F5"/>
    <w:rsid w:val="008A3B80"/>
    <w:rsid w:val="008A4702"/>
    <w:rsid w:val="008A595E"/>
    <w:rsid w:val="008A5AA0"/>
    <w:rsid w:val="008A5DAA"/>
    <w:rsid w:val="008B07FC"/>
    <w:rsid w:val="008B2F9A"/>
    <w:rsid w:val="008B30EC"/>
    <w:rsid w:val="008B4871"/>
    <w:rsid w:val="008C21B1"/>
    <w:rsid w:val="008C35E5"/>
    <w:rsid w:val="008C47FA"/>
    <w:rsid w:val="008D011A"/>
    <w:rsid w:val="008D0238"/>
    <w:rsid w:val="008D13D7"/>
    <w:rsid w:val="008D3BEB"/>
    <w:rsid w:val="008D3FFB"/>
    <w:rsid w:val="008D6269"/>
    <w:rsid w:val="008D669F"/>
    <w:rsid w:val="008D7EB3"/>
    <w:rsid w:val="008E08C6"/>
    <w:rsid w:val="008E20FC"/>
    <w:rsid w:val="008E224D"/>
    <w:rsid w:val="008E4057"/>
    <w:rsid w:val="008E59B8"/>
    <w:rsid w:val="008E6E10"/>
    <w:rsid w:val="008F076A"/>
    <w:rsid w:val="008F260D"/>
    <w:rsid w:val="008F35E7"/>
    <w:rsid w:val="008F578A"/>
    <w:rsid w:val="008F66EC"/>
    <w:rsid w:val="009037BA"/>
    <w:rsid w:val="009039A9"/>
    <w:rsid w:val="00904514"/>
    <w:rsid w:val="00904C87"/>
    <w:rsid w:val="00906499"/>
    <w:rsid w:val="00913AC0"/>
    <w:rsid w:val="00913D8A"/>
    <w:rsid w:val="00916452"/>
    <w:rsid w:val="009172FA"/>
    <w:rsid w:val="00923DC1"/>
    <w:rsid w:val="009247F9"/>
    <w:rsid w:val="0092530B"/>
    <w:rsid w:val="009272B6"/>
    <w:rsid w:val="00927E8A"/>
    <w:rsid w:val="0093325E"/>
    <w:rsid w:val="009333ED"/>
    <w:rsid w:val="00933B50"/>
    <w:rsid w:val="009340D2"/>
    <w:rsid w:val="00934DB0"/>
    <w:rsid w:val="0093766B"/>
    <w:rsid w:val="00940968"/>
    <w:rsid w:val="0094208C"/>
    <w:rsid w:val="0094235B"/>
    <w:rsid w:val="00942F17"/>
    <w:rsid w:val="009472C5"/>
    <w:rsid w:val="00947577"/>
    <w:rsid w:val="009477E5"/>
    <w:rsid w:val="0095229C"/>
    <w:rsid w:val="009528E2"/>
    <w:rsid w:val="0095290A"/>
    <w:rsid w:val="00952CEF"/>
    <w:rsid w:val="00953A2E"/>
    <w:rsid w:val="00953FAC"/>
    <w:rsid w:val="00954439"/>
    <w:rsid w:val="00955421"/>
    <w:rsid w:val="009651DB"/>
    <w:rsid w:val="00966427"/>
    <w:rsid w:val="00974340"/>
    <w:rsid w:val="009776C7"/>
    <w:rsid w:val="009804EF"/>
    <w:rsid w:val="00982248"/>
    <w:rsid w:val="009826C6"/>
    <w:rsid w:val="00983E4B"/>
    <w:rsid w:val="0098530B"/>
    <w:rsid w:val="00986336"/>
    <w:rsid w:val="00990E9C"/>
    <w:rsid w:val="00990FE6"/>
    <w:rsid w:val="00993308"/>
    <w:rsid w:val="009934CC"/>
    <w:rsid w:val="00994542"/>
    <w:rsid w:val="00994908"/>
    <w:rsid w:val="00997C6D"/>
    <w:rsid w:val="009A07AE"/>
    <w:rsid w:val="009A46D1"/>
    <w:rsid w:val="009A7507"/>
    <w:rsid w:val="009A7E9D"/>
    <w:rsid w:val="009B160B"/>
    <w:rsid w:val="009B18B7"/>
    <w:rsid w:val="009B2C8F"/>
    <w:rsid w:val="009B4710"/>
    <w:rsid w:val="009B4FEA"/>
    <w:rsid w:val="009B67AB"/>
    <w:rsid w:val="009B6E95"/>
    <w:rsid w:val="009C237B"/>
    <w:rsid w:val="009C246D"/>
    <w:rsid w:val="009C523F"/>
    <w:rsid w:val="009C6BE6"/>
    <w:rsid w:val="009C7957"/>
    <w:rsid w:val="009D164A"/>
    <w:rsid w:val="009D2F59"/>
    <w:rsid w:val="009D69C5"/>
    <w:rsid w:val="009D7930"/>
    <w:rsid w:val="009E2FDE"/>
    <w:rsid w:val="009E4B36"/>
    <w:rsid w:val="009E4D80"/>
    <w:rsid w:val="009E52CC"/>
    <w:rsid w:val="009E5A93"/>
    <w:rsid w:val="009F07ED"/>
    <w:rsid w:val="009F1366"/>
    <w:rsid w:val="009F3F89"/>
    <w:rsid w:val="009F65A2"/>
    <w:rsid w:val="00A05F92"/>
    <w:rsid w:val="00A10B01"/>
    <w:rsid w:val="00A124A1"/>
    <w:rsid w:val="00A1258C"/>
    <w:rsid w:val="00A14195"/>
    <w:rsid w:val="00A1516C"/>
    <w:rsid w:val="00A16FB7"/>
    <w:rsid w:val="00A20113"/>
    <w:rsid w:val="00A20D78"/>
    <w:rsid w:val="00A2107D"/>
    <w:rsid w:val="00A2215F"/>
    <w:rsid w:val="00A22839"/>
    <w:rsid w:val="00A23E19"/>
    <w:rsid w:val="00A25CEF"/>
    <w:rsid w:val="00A26DD6"/>
    <w:rsid w:val="00A278D3"/>
    <w:rsid w:val="00A31A56"/>
    <w:rsid w:val="00A31B66"/>
    <w:rsid w:val="00A33185"/>
    <w:rsid w:val="00A332A5"/>
    <w:rsid w:val="00A33509"/>
    <w:rsid w:val="00A33FB5"/>
    <w:rsid w:val="00A344B1"/>
    <w:rsid w:val="00A34A58"/>
    <w:rsid w:val="00A34E3B"/>
    <w:rsid w:val="00A35A5E"/>
    <w:rsid w:val="00A41221"/>
    <w:rsid w:val="00A440F6"/>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70641"/>
    <w:rsid w:val="00A71395"/>
    <w:rsid w:val="00A71BFD"/>
    <w:rsid w:val="00A71CD7"/>
    <w:rsid w:val="00A7210D"/>
    <w:rsid w:val="00A7271A"/>
    <w:rsid w:val="00A72DD7"/>
    <w:rsid w:val="00A72F97"/>
    <w:rsid w:val="00A731F5"/>
    <w:rsid w:val="00A80770"/>
    <w:rsid w:val="00A81A0F"/>
    <w:rsid w:val="00A81E19"/>
    <w:rsid w:val="00A86F66"/>
    <w:rsid w:val="00A91852"/>
    <w:rsid w:val="00A91C08"/>
    <w:rsid w:val="00A94722"/>
    <w:rsid w:val="00A953C2"/>
    <w:rsid w:val="00A976C1"/>
    <w:rsid w:val="00AA1332"/>
    <w:rsid w:val="00AA41E5"/>
    <w:rsid w:val="00AA5B4B"/>
    <w:rsid w:val="00AA6AFE"/>
    <w:rsid w:val="00AA6CE5"/>
    <w:rsid w:val="00AB03EE"/>
    <w:rsid w:val="00AB1262"/>
    <w:rsid w:val="00AB1F9F"/>
    <w:rsid w:val="00AB2633"/>
    <w:rsid w:val="00AB317E"/>
    <w:rsid w:val="00AB4082"/>
    <w:rsid w:val="00AB630A"/>
    <w:rsid w:val="00AB795F"/>
    <w:rsid w:val="00AC2437"/>
    <w:rsid w:val="00AC6312"/>
    <w:rsid w:val="00AC666D"/>
    <w:rsid w:val="00AD2A00"/>
    <w:rsid w:val="00AD3803"/>
    <w:rsid w:val="00AD4935"/>
    <w:rsid w:val="00AD4BD1"/>
    <w:rsid w:val="00AD4FF7"/>
    <w:rsid w:val="00AD6D80"/>
    <w:rsid w:val="00AD79C6"/>
    <w:rsid w:val="00AE3F29"/>
    <w:rsid w:val="00AE56BA"/>
    <w:rsid w:val="00AE640A"/>
    <w:rsid w:val="00AE7033"/>
    <w:rsid w:val="00AE7946"/>
    <w:rsid w:val="00AF011A"/>
    <w:rsid w:val="00AF2552"/>
    <w:rsid w:val="00AF347B"/>
    <w:rsid w:val="00AF3E9C"/>
    <w:rsid w:val="00AF517D"/>
    <w:rsid w:val="00AF66F2"/>
    <w:rsid w:val="00AF770A"/>
    <w:rsid w:val="00B02D20"/>
    <w:rsid w:val="00B05C1A"/>
    <w:rsid w:val="00B05C35"/>
    <w:rsid w:val="00B06CC3"/>
    <w:rsid w:val="00B06E89"/>
    <w:rsid w:val="00B1044F"/>
    <w:rsid w:val="00B1160D"/>
    <w:rsid w:val="00B11849"/>
    <w:rsid w:val="00B13FB7"/>
    <w:rsid w:val="00B159A3"/>
    <w:rsid w:val="00B1698A"/>
    <w:rsid w:val="00B17307"/>
    <w:rsid w:val="00B20310"/>
    <w:rsid w:val="00B21C50"/>
    <w:rsid w:val="00B228EA"/>
    <w:rsid w:val="00B27727"/>
    <w:rsid w:val="00B27CB1"/>
    <w:rsid w:val="00B329CE"/>
    <w:rsid w:val="00B36716"/>
    <w:rsid w:val="00B42BF2"/>
    <w:rsid w:val="00B444E6"/>
    <w:rsid w:val="00B457DF"/>
    <w:rsid w:val="00B46B5E"/>
    <w:rsid w:val="00B51D00"/>
    <w:rsid w:val="00B52011"/>
    <w:rsid w:val="00B53EFF"/>
    <w:rsid w:val="00B543AB"/>
    <w:rsid w:val="00B54AFA"/>
    <w:rsid w:val="00B54B72"/>
    <w:rsid w:val="00B60475"/>
    <w:rsid w:val="00B61459"/>
    <w:rsid w:val="00B6360B"/>
    <w:rsid w:val="00B6533F"/>
    <w:rsid w:val="00B66810"/>
    <w:rsid w:val="00B671A4"/>
    <w:rsid w:val="00B7003E"/>
    <w:rsid w:val="00B731FC"/>
    <w:rsid w:val="00B75D7A"/>
    <w:rsid w:val="00B763F3"/>
    <w:rsid w:val="00B77CFB"/>
    <w:rsid w:val="00B804E8"/>
    <w:rsid w:val="00B846B4"/>
    <w:rsid w:val="00B87D4F"/>
    <w:rsid w:val="00B948C4"/>
    <w:rsid w:val="00B95259"/>
    <w:rsid w:val="00B9556A"/>
    <w:rsid w:val="00BA18FA"/>
    <w:rsid w:val="00BA1B32"/>
    <w:rsid w:val="00BA2A1D"/>
    <w:rsid w:val="00BB25A7"/>
    <w:rsid w:val="00BB4188"/>
    <w:rsid w:val="00BB687F"/>
    <w:rsid w:val="00BB6AD4"/>
    <w:rsid w:val="00BB771D"/>
    <w:rsid w:val="00BC0021"/>
    <w:rsid w:val="00BC05A6"/>
    <w:rsid w:val="00BC0D49"/>
    <w:rsid w:val="00BC0E21"/>
    <w:rsid w:val="00BC1579"/>
    <w:rsid w:val="00BC200E"/>
    <w:rsid w:val="00BC206C"/>
    <w:rsid w:val="00BC3B81"/>
    <w:rsid w:val="00BC431A"/>
    <w:rsid w:val="00BC67C8"/>
    <w:rsid w:val="00BC6A1D"/>
    <w:rsid w:val="00BC70DB"/>
    <w:rsid w:val="00BC74D1"/>
    <w:rsid w:val="00BC77DF"/>
    <w:rsid w:val="00BD2759"/>
    <w:rsid w:val="00BD3890"/>
    <w:rsid w:val="00BD51A3"/>
    <w:rsid w:val="00BD571C"/>
    <w:rsid w:val="00BD5A5F"/>
    <w:rsid w:val="00BD6CCD"/>
    <w:rsid w:val="00BD6E46"/>
    <w:rsid w:val="00BD7350"/>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7863"/>
    <w:rsid w:val="00C10137"/>
    <w:rsid w:val="00C102C7"/>
    <w:rsid w:val="00C1159D"/>
    <w:rsid w:val="00C119A2"/>
    <w:rsid w:val="00C128DD"/>
    <w:rsid w:val="00C13B1E"/>
    <w:rsid w:val="00C1480B"/>
    <w:rsid w:val="00C17354"/>
    <w:rsid w:val="00C214FF"/>
    <w:rsid w:val="00C21509"/>
    <w:rsid w:val="00C27838"/>
    <w:rsid w:val="00C320DB"/>
    <w:rsid w:val="00C327E5"/>
    <w:rsid w:val="00C372C5"/>
    <w:rsid w:val="00C373EB"/>
    <w:rsid w:val="00C407B8"/>
    <w:rsid w:val="00C414D4"/>
    <w:rsid w:val="00C43D14"/>
    <w:rsid w:val="00C455B5"/>
    <w:rsid w:val="00C462A0"/>
    <w:rsid w:val="00C46BD5"/>
    <w:rsid w:val="00C51080"/>
    <w:rsid w:val="00C51734"/>
    <w:rsid w:val="00C520AF"/>
    <w:rsid w:val="00C52FD6"/>
    <w:rsid w:val="00C53E8A"/>
    <w:rsid w:val="00C54C4C"/>
    <w:rsid w:val="00C57267"/>
    <w:rsid w:val="00C57DF6"/>
    <w:rsid w:val="00C57F30"/>
    <w:rsid w:val="00C607DA"/>
    <w:rsid w:val="00C61021"/>
    <w:rsid w:val="00C61D7F"/>
    <w:rsid w:val="00C6244F"/>
    <w:rsid w:val="00C62B63"/>
    <w:rsid w:val="00C65259"/>
    <w:rsid w:val="00C6595B"/>
    <w:rsid w:val="00C66DF0"/>
    <w:rsid w:val="00C7052B"/>
    <w:rsid w:val="00C72B5B"/>
    <w:rsid w:val="00C742E3"/>
    <w:rsid w:val="00C75F94"/>
    <w:rsid w:val="00C76F6F"/>
    <w:rsid w:val="00C810A7"/>
    <w:rsid w:val="00C811D6"/>
    <w:rsid w:val="00C81C10"/>
    <w:rsid w:val="00C91150"/>
    <w:rsid w:val="00C91ADC"/>
    <w:rsid w:val="00C91E39"/>
    <w:rsid w:val="00C93E9C"/>
    <w:rsid w:val="00C942E1"/>
    <w:rsid w:val="00C94F64"/>
    <w:rsid w:val="00C97CDB"/>
    <w:rsid w:val="00CA0075"/>
    <w:rsid w:val="00CA2FF3"/>
    <w:rsid w:val="00CA4CC4"/>
    <w:rsid w:val="00CA5C65"/>
    <w:rsid w:val="00CA70AF"/>
    <w:rsid w:val="00CA79C7"/>
    <w:rsid w:val="00CB01F3"/>
    <w:rsid w:val="00CB1CAF"/>
    <w:rsid w:val="00CB1DF2"/>
    <w:rsid w:val="00CB2A23"/>
    <w:rsid w:val="00CB2AAA"/>
    <w:rsid w:val="00CB3F47"/>
    <w:rsid w:val="00CB4CE7"/>
    <w:rsid w:val="00CB53AB"/>
    <w:rsid w:val="00CB6DCF"/>
    <w:rsid w:val="00CC17C2"/>
    <w:rsid w:val="00CC258C"/>
    <w:rsid w:val="00CC2797"/>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7D5D"/>
    <w:rsid w:val="00CE48E2"/>
    <w:rsid w:val="00CE59BC"/>
    <w:rsid w:val="00CE6A9E"/>
    <w:rsid w:val="00CF0FC4"/>
    <w:rsid w:val="00CF150C"/>
    <w:rsid w:val="00CF1706"/>
    <w:rsid w:val="00CF1E61"/>
    <w:rsid w:val="00CF48EF"/>
    <w:rsid w:val="00CF613A"/>
    <w:rsid w:val="00CF6932"/>
    <w:rsid w:val="00D01D88"/>
    <w:rsid w:val="00D01F52"/>
    <w:rsid w:val="00D01FE3"/>
    <w:rsid w:val="00D04F65"/>
    <w:rsid w:val="00D06CA3"/>
    <w:rsid w:val="00D07F46"/>
    <w:rsid w:val="00D122E9"/>
    <w:rsid w:val="00D12E6F"/>
    <w:rsid w:val="00D1552E"/>
    <w:rsid w:val="00D170E5"/>
    <w:rsid w:val="00D207C1"/>
    <w:rsid w:val="00D21155"/>
    <w:rsid w:val="00D2600C"/>
    <w:rsid w:val="00D26D87"/>
    <w:rsid w:val="00D31229"/>
    <w:rsid w:val="00D3271A"/>
    <w:rsid w:val="00D33134"/>
    <w:rsid w:val="00D34688"/>
    <w:rsid w:val="00D373C8"/>
    <w:rsid w:val="00D37F2F"/>
    <w:rsid w:val="00D40765"/>
    <w:rsid w:val="00D415B9"/>
    <w:rsid w:val="00D461E5"/>
    <w:rsid w:val="00D47C3D"/>
    <w:rsid w:val="00D51405"/>
    <w:rsid w:val="00D515EE"/>
    <w:rsid w:val="00D528E8"/>
    <w:rsid w:val="00D53416"/>
    <w:rsid w:val="00D57546"/>
    <w:rsid w:val="00D61949"/>
    <w:rsid w:val="00D62AA2"/>
    <w:rsid w:val="00D66019"/>
    <w:rsid w:val="00D66DDB"/>
    <w:rsid w:val="00D66F77"/>
    <w:rsid w:val="00D71273"/>
    <w:rsid w:val="00D71F49"/>
    <w:rsid w:val="00D71F7F"/>
    <w:rsid w:val="00D7211A"/>
    <w:rsid w:val="00D7380F"/>
    <w:rsid w:val="00D771D0"/>
    <w:rsid w:val="00D772A3"/>
    <w:rsid w:val="00D835CF"/>
    <w:rsid w:val="00D84C1F"/>
    <w:rsid w:val="00D84D5B"/>
    <w:rsid w:val="00D86FEB"/>
    <w:rsid w:val="00D87B72"/>
    <w:rsid w:val="00D9149A"/>
    <w:rsid w:val="00D94AAF"/>
    <w:rsid w:val="00D967D0"/>
    <w:rsid w:val="00D972CF"/>
    <w:rsid w:val="00DA1094"/>
    <w:rsid w:val="00DA207D"/>
    <w:rsid w:val="00DA2286"/>
    <w:rsid w:val="00DA2684"/>
    <w:rsid w:val="00DA26FB"/>
    <w:rsid w:val="00DA2A02"/>
    <w:rsid w:val="00DA3966"/>
    <w:rsid w:val="00DA4780"/>
    <w:rsid w:val="00DA58B7"/>
    <w:rsid w:val="00DA7295"/>
    <w:rsid w:val="00DB0B8C"/>
    <w:rsid w:val="00DB5385"/>
    <w:rsid w:val="00DB60B4"/>
    <w:rsid w:val="00DB648D"/>
    <w:rsid w:val="00DB6C3D"/>
    <w:rsid w:val="00DB6CE2"/>
    <w:rsid w:val="00DC2B1B"/>
    <w:rsid w:val="00DC5ACF"/>
    <w:rsid w:val="00DC6EA1"/>
    <w:rsid w:val="00DC7888"/>
    <w:rsid w:val="00DC7E71"/>
    <w:rsid w:val="00DC7E7A"/>
    <w:rsid w:val="00DD0399"/>
    <w:rsid w:val="00DD22D7"/>
    <w:rsid w:val="00DD6920"/>
    <w:rsid w:val="00DD7468"/>
    <w:rsid w:val="00DD7DF5"/>
    <w:rsid w:val="00DE25E9"/>
    <w:rsid w:val="00DE3D5E"/>
    <w:rsid w:val="00DE67B7"/>
    <w:rsid w:val="00DE71D3"/>
    <w:rsid w:val="00DE72CF"/>
    <w:rsid w:val="00DE7AFC"/>
    <w:rsid w:val="00DF08A0"/>
    <w:rsid w:val="00DF12E0"/>
    <w:rsid w:val="00DF33F5"/>
    <w:rsid w:val="00DF5888"/>
    <w:rsid w:val="00DF6F73"/>
    <w:rsid w:val="00E0303C"/>
    <w:rsid w:val="00E032C7"/>
    <w:rsid w:val="00E1049C"/>
    <w:rsid w:val="00E12917"/>
    <w:rsid w:val="00E22B25"/>
    <w:rsid w:val="00E2604A"/>
    <w:rsid w:val="00E269CF"/>
    <w:rsid w:val="00E37F2D"/>
    <w:rsid w:val="00E4062A"/>
    <w:rsid w:val="00E41F8A"/>
    <w:rsid w:val="00E4256F"/>
    <w:rsid w:val="00E42BAC"/>
    <w:rsid w:val="00E43256"/>
    <w:rsid w:val="00E433A1"/>
    <w:rsid w:val="00E43B5D"/>
    <w:rsid w:val="00E5120E"/>
    <w:rsid w:val="00E52307"/>
    <w:rsid w:val="00E52FAF"/>
    <w:rsid w:val="00E5312A"/>
    <w:rsid w:val="00E54898"/>
    <w:rsid w:val="00E56319"/>
    <w:rsid w:val="00E56F07"/>
    <w:rsid w:val="00E63C4C"/>
    <w:rsid w:val="00E66A2A"/>
    <w:rsid w:val="00E67574"/>
    <w:rsid w:val="00E70760"/>
    <w:rsid w:val="00E7133E"/>
    <w:rsid w:val="00E71B40"/>
    <w:rsid w:val="00E72C93"/>
    <w:rsid w:val="00E74608"/>
    <w:rsid w:val="00E76761"/>
    <w:rsid w:val="00E814F9"/>
    <w:rsid w:val="00E81EEA"/>
    <w:rsid w:val="00E82957"/>
    <w:rsid w:val="00E84A9B"/>
    <w:rsid w:val="00E85725"/>
    <w:rsid w:val="00E85E95"/>
    <w:rsid w:val="00E86A02"/>
    <w:rsid w:val="00E91780"/>
    <w:rsid w:val="00E91B67"/>
    <w:rsid w:val="00E9253C"/>
    <w:rsid w:val="00E938FE"/>
    <w:rsid w:val="00E971D9"/>
    <w:rsid w:val="00EA1F45"/>
    <w:rsid w:val="00EA216C"/>
    <w:rsid w:val="00EA30B3"/>
    <w:rsid w:val="00EA40A9"/>
    <w:rsid w:val="00EA5CF8"/>
    <w:rsid w:val="00EA6BA3"/>
    <w:rsid w:val="00EB3E04"/>
    <w:rsid w:val="00EB45B5"/>
    <w:rsid w:val="00EB4B9A"/>
    <w:rsid w:val="00EB5B15"/>
    <w:rsid w:val="00EB5E57"/>
    <w:rsid w:val="00EB61DB"/>
    <w:rsid w:val="00EB6676"/>
    <w:rsid w:val="00EB7100"/>
    <w:rsid w:val="00EC1B92"/>
    <w:rsid w:val="00EC3315"/>
    <w:rsid w:val="00ED3EEB"/>
    <w:rsid w:val="00ED4AFD"/>
    <w:rsid w:val="00EE0121"/>
    <w:rsid w:val="00EE4FBE"/>
    <w:rsid w:val="00EF0071"/>
    <w:rsid w:val="00EF3138"/>
    <w:rsid w:val="00EF32D2"/>
    <w:rsid w:val="00EF402C"/>
    <w:rsid w:val="00EF48F9"/>
    <w:rsid w:val="00EF4FF7"/>
    <w:rsid w:val="00EF5870"/>
    <w:rsid w:val="00EF5B8A"/>
    <w:rsid w:val="00EF6299"/>
    <w:rsid w:val="00EF757C"/>
    <w:rsid w:val="00F0073B"/>
    <w:rsid w:val="00F013AA"/>
    <w:rsid w:val="00F048C8"/>
    <w:rsid w:val="00F073D2"/>
    <w:rsid w:val="00F10DAD"/>
    <w:rsid w:val="00F11BE9"/>
    <w:rsid w:val="00F12AC4"/>
    <w:rsid w:val="00F15789"/>
    <w:rsid w:val="00F17392"/>
    <w:rsid w:val="00F20D62"/>
    <w:rsid w:val="00F22E4D"/>
    <w:rsid w:val="00F27BA7"/>
    <w:rsid w:val="00F27D40"/>
    <w:rsid w:val="00F3141F"/>
    <w:rsid w:val="00F3209A"/>
    <w:rsid w:val="00F34D3C"/>
    <w:rsid w:val="00F360E8"/>
    <w:rsid w:val="00F370E5"/>
    <w:rsid w:val="00F42644"/>
    <w:rsid w:val="00F44CCF"/>
    <w:rsid w:val="00F505C5"/>
    <w:rsid w:val="00F52080"/>
    <w:rsid w:val="00F52920"/>
    <w:rsid w:val="00F52BF3"/>
    <w:rsid w:val="00F539B5"/>
    <w:rsid w:val="00F548CD"/>
    <w:rsid w:val="00F5649A"/>
    <w:rsid w:val="00F6072B"/>
    <w:rsid w:val="00F608F4"/>
    <w:rsid w:val="00F60D76"/>
    <w:rsid w:val="00F6199F"/>
    <w:rsid w:val="00F6344A"/>
    <w:rsid w:val="00F63C56"/>
    <w:rsid w:val="00F641A4"/>
    <w:rsid w:val="00F65BEB"/>
    <w:rsid w:val="00F65F9C"/>
    <w:rsid w:val="00F66253"/>
    <w:rsid w:val="00F678AF"/>
    <w:rsid w:val="00F67DC5"/>
    <w:rsid w:val="00F71E1A"/>
    <w:rsid w:val="00F72177"/>
    <w:rsid w:val="00F731D6"/>
    <w:rsid w:val="00F771E5"/>
    <w:rsid w:val="00F77BF5"/>
    <w:rsid w:val="00F77EFC"/>
    <w:rsid w:val="00F82342"/>
    <w:rsid w:val="00F82419"/>
    <w:rsid w:val="00F86520"/>
    <w:rsid w:val="00F877DB"/>
    <w:rsid w:val="00F90841"/>
    <w:rsid w:val="00F91AE4"/>
    <w:rsid w:val="00F93C8B"/>
    <w:rsid w:val="00F959DD"/>
    <w:rsid w:val="00F960D5"/>
    <w:rsid w:val="00F960EA"/>
    <w:rsid w:val="00F979D0"/>
    <w:rsid w:val="00FA0A4E"/>
    <w:rsid w:val="00FA0D60"/>
    <w:rsid w:val="00FA1F70"/>
    <w:rsid w:val="00FA3AA7"/>
    <w:rsid w:val="00FA4BF4"/>
    <w:rsid w:val="00FB0BB7"/>
    <w:rsid w:val="00FB105A"/>
    <w:rsid w:val="00FB1231"/>
    <w:rsid w:val="00FB17C8"/>
    <w:rsid w:val="00FB287D"/>
    <w:rsid w:val="00FB37BD"/>
    <w:rsid w:val="00FB687E"/>
    <w:rsid w:val="00FC000E"/>
    <w:rsid w:val="00FC1655"/>
    <w:rsid w:val="00FC1C5C"/>
    <w:rsid w:val="00FC2A0F"/>
    <w:rsid w:val="00FC3391"/>
    <w:rsid w:val="00FC40D7"/>
    <w:rsid w:val="00FC54F5"/>
    <w:rsid w:val="00FC5F79"/>
    <w:rsid w:val="00FC6577"/>
    <w:rsid w:val="00FD03D6"/>
    <w:rsid w:val="00FD62FD"/>
    <w:rsid w:val="00FD7AED"/>
    <w:rsid w:val="00FE17E2"/>
    <w:rsid w:val="00FE216A"/>
    <w:rsid w:val="00FE2A9D"/>
    <w:rsid w:val="00FE4A35"/>
    <w:rsid w:val="00FE507B"/>
    <w:rsid w:val="00FE602E"/>
    <w:rsid w:val="00FE6046"/>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99"/>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99"/>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table" w:customStyle="1" w:styleId="Style1">
    <w:name w:val="Style1"/>
    <w:basedOn w:val="TableNormal"/>
    <w:uiPriority w:val="99"/>
    <w:rsid w:val="00A94722"/>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68144300">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31286214">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adcfs.capita.co.uk\Public\LMS\DATA\Treasury\GENERAL%20FILES\Quarterly%20Report%20Template\2020-21\Q4\Cap%20Econ%20UK%20GDP%20Forecast%20210401%20font%20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545967949197466E-2"/>
          <c:y val="3.8485740877992787E-2"/>
          <c:w val="0.84613499997774411"/>
          <c:h val="0.85191268812917464"/>
        </c:manualLayout>
      </c:layout>
      <c:barChart>
        <c:barDir val="col"/>
        <c:grouping val="clustered"/>
        <c:varyColors val="0"/>
        <c:ser>
          <c:idx val="1"/>
          <c:order val="0"/>
          <c:tx>
            <c:v>Lockdowns</c:v>
          </c:tx>
          <c:spPr>
            <a:solidFill>
              <a:schemeClr val="bg1">
                <a:lumMod val="75000"/>
              </a:schemeClr>
            </a:solidFill>
          </c:spPr>
          <c:invertIfNegative val="0"/>
          <c:cat>
            <c:numRef>
              <c:f>Data!$A$5:$A$52</c:f>
              <c:numCache>
                <c:formatCode>m/d/yyyy</c:formatCode>
                <c:ptCount val="48"/>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numCache>
            </c:numRef>
          </c:cat>
          <c:val>
            <c:numRef>
              <c:f>Data!$C$5:$C$52</c:f>
              <c:numCache>
                <c:formatCode>General</c:formatCode>
                <c:ptCount val="4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120</c:v>
                </c:pt>
                <c:pt idx="16">
                  <c:v>120</c:v>
                </c:pt>
                <c:pt idx="17">
                  <c:v>0</c:v>
                </c:pt>
                <c:pt idx="18">
                  <c:v>0</c:v>
                </c:pt>
                <c:pt idx="19">
                  <c:v>0</c:v>
                </c:pt>
                <c:pt idx="20">
                  <c:v>0</c:v>
                </c:pt>
                <c:pt idx="21">
                  <c:v>0</c:v>
                </c:pt>
                <c:pt idx="22">
                  <c:v>120</c:v>
                </c:pt>
                <c:pt idx="23">
                  <c:v>0</c:v>
                </c:pt>
                <c:pt idx="24">
                  <c:v>120</c:v>
                </c:pt>
                <c:pt idx="25">
                  <c:v>120</c:v>
                </c:pt>
                <c:pt idx="26">
                  <c:v>120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numCache>
            </c:numRef>
          </c:val>
          <c:extLst>
            <c:ext xmlns:c16="http://schemas.microsoft.com/office/drawing/2014/chart" uri="{C3380CC4-5D6E-409C-BE32-E72D297353CC}">
              <c16:uniqueId val="{00000000-F4FC-4DA1-B786-050961888847}"/>
            </c:ext>
          </c:extLst>
        </c:ser>
        <c:dLbls>
          <c:showLegendKey val="0"/>
          <c:showVal val="0"/>
          <c:showCatName val="0"/>
          <c:showSerName val="0"/>
          <c:showPercent val="0"/>
          <c:showBubbleSize val="0"/>
        </c:dLbls>
        <c:gapWidth val="0"/>
        <c:axId val="163516800"/>
        <c:axId val="163518336"/>
      </c:barChart>
      <c:lineChart>
        <c:grouping val="standard"/>
        <c:varyColors val="0"/>
        <c:ser>
          <c:idx val="0"/>
          <c:order val="1"/>
          <c:tx>
            <c:v>GDP (Feb. 2020 = 100)</c:v>
          </c:tx>
          <c:spPr>
            <a:ln w="12700">
              <a:solidFill>
                <a:srgbClr val="7F7FFF"/>
              </a:solidFill>
            </a:ln>
          </c:spPr>
          <c:marker>
            <c:symbol val="none"/>
          </c:marker>
          <c:cat>
            <c:numRef>
              <c:f>Data!$A$5:$A$52</c:f>
              <c:numCache>
                <c:formatCode>m/d/yyyy</c:formatCode>
                <c:ptCount val="48"/>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numCache>
            </c:numRef>
          </c:cat>
          <c:val>
            <c:numRef>
              <c:f>Data!$B$5:$B$52</c:f>
              <c:numCache>
                <c:formatCode>0.0</c:formatCode>
                <c:ptCount val="48"/>
                <c:pt idx="0">
                  <c:v>99.802371541501984</c:v>
                </c:pt>
                <c:pt idx="1">
                  <c:v>100.098814229249</c:v>
                </c:pt>
                <c:pt idx="2">
                  <c:v>100.19762845849802</c:v>
                </c:pt>
                <c:pt idx="3">
                  <c:v>99.802371541501984</c:v>
                </c:pt>
                <c:pt idx="4">
                  <c:v>100</c:v>
                </c:pt>
                <c:pt idx="5">
                  <c:v>100.19762845849802</c:v>
                </c:pt>
                <c:pt idx="6">
                  <c:v>100.49407114624506</c:v>
                </c:pt>
                <c:pt idx="7">
                  <c:v>100.39525691699605</c:v>
                </c:pt>
                <c:pt idx="8">
                  <c:v>100.39525691699605</c:v>
                </c:pt>
                <c:pt idx="9">
                  <c:v>100.69169960474309</c:v>
                </c:pt>
                <c:pt idx="10">
                  <c:v>100.29644268774702</c:v>
                </c:pt>
                <c:pt idx="11">
                  <c:v>100.29644268774702</c:v>
                </c:pt>
                <c:pt idx="12">
                  <c:v>100.29644268774702</c:v>
                </c:pt>
                <c:pt idx="13">
                  <c:v>100</c:v>
                </c:pt>
                <c:pt idx="14">
                  <c:v>92.984189723320156</c:v>
                </c:pt>
                <c:pt idx="15">
                  <c:v>75.988142292490124</c:v>
                </c:pt>
                <c:pt idx="16">
                  <c:v>78.359683794466392</c:v>
                </c:pt>
                <c:pt idx="17">
                  <c:v>85.474308300395251</c:v>
                </c:pt>
                <c:pt idx="18">
                  <c:v>91.205533596837938</c:v>
                </c:pt>
                <c:pt idx="19">
                  <c:v>93.083003952569172</c:v>
                </c:pt>
                <c:pt idx="20">
                  <c:v>94.268774703557312</c:v>
                </c:pt>
                <c:pt idx="21">
                  <c:v>94.861660079051376</c:v>
                </c:pt>
                <c:pt idx="22">
                  <c:v>92.687747035573125</c:v>
                </c:pt>
                <c:pt idx="23">
                  <c:v>93.77470355731225</c:v>
                </c:pt>
                <c:pt idx="24">
                  <c:v>91.007905138339922</c:v>
                </c:pt>
                <c:pt idx="25">
                  <c:v>91.426541501976274</c:v>
                </c:pt>
                <c:pt idx="26">
                  <c:v>92.523659999999978</c:v>
                </c:pt>
                <c:pt idx="27">
                  <c:v>93.171325619999976</c:v>
                </c:pt>
                <c:pt idx="28">
                  <c:v>94.103038876199989</c:v>
                </c:pt>
                <c:pt idx="29">
                  <c:v>95.985099653723992</c:v>
                </c:pt>
                <c:pt idx="30">
                  <c:v>97.424876148529847</c:v>
                </c:pt>
                <c:pt idx="31">
                  <c:v>98.204275157718087</c:v>
                </c:pt>
                <c:pt idx="32">
                  <c:v>98.98990935897983</c:v>
                </c:pt>
                <c:pt idx="33">
                  <c:v>99.682838724492683</c:v>
                </c:pt>
                <c:pt idx="34">
                  <c:v>100.28093575683965</c:v>
                </c:pt>
                <c:pt idx="35">
                  <c:v>100.75225615489678</c:v>
                </c:pt>
                <c:pt idx="36">
                  <c:v>101.25601743567125</c:v>
                </c:pt>
                <c:pt idx="37">
                  <c:v>101.76229752284959</c:v>
                </c:pt>
                <c:pt idx="38">
                  <c:v>102.16934671294101</c:v>
                </c:pt>
                <c:pt idx="39">
                  <c:v>102.57802409979276</c:v>
                </c:pt>
                <c:pt idx="40">
                  <c:v>102.98833619619192</c:v>
                </c:pt>
                <c:pt idx="41">
                  <c:v>103.19431286858432</c:v>
                </c:pt>
                <c:pt idx="42">
                  <c:v>103.50389580719003</c:v>
                </c:pt>
                <c:pt idx="43">
                  <c:v>103.81440749461161</c:v>
                </c:pt>
                <c:pt idx="44">
                  <c:v>104.12585071709543</c:v>
                </c:pt>
                <c:pt idx="45">
                  <c:v>104.43822826924669</c:v>
                </c:pt>
                <c:pt idx="46">
                  <c:v>104.6471047257852</c:v>
                </c:pt>
                <c:pt idx="47">
                  <c:v>104.85639893523677</c:v>
                </c:pt>
              </c:numCache>
            </c:numRef>
          </c:val>
          <c:smooth val="0"/>
          <c:extLst>
            <c:ext xmlns:c16="http://schemas.microsoft.com/office/drawing/2014/chart" uri="{C3380CC4-5D6E-409C-BE32-E72D297353CC}">
              <c16:uniqueId val="{00000001-F4FC-4DA1-B786-050961888847}"/>
            </c:ext>
          </c:extLst>
        </c:ser>
        <c:dLbls>
          <c:showLegendKey val="0"/>
          <c:showVal val="0"/>
          <c:showCatName val="0"/>
          <c:showSerName val="0"/>
          <c:showPercent val="0"/>
          <c:showBubbleSize val="0"/>
        </c:dLbls>
        <c:marker val="1"/>
        <c:smooth val="0"/>
        <c:axId val="159745152"/>
        <c:axId val="159746688"/>
      </c:lineChart>
      <c:dateAx>
        <c:axId val="159745152"/>
        <c:scaling>
          <c:orientation val="minMax"/>
          <c:max val="44562"/>
          <c:min val="43831"/>
        </c:scaling>
        <c:delete val="0"/>
        <c:axPos val="b"/>
        <c:numFmt formatCode="mmm\-yy" sourceLinked="0"/>
        <c:majorTickMark val="out"/>
        <c:minorTickMark val="none"/>
        <c:tickLblPos val="nextTo"/>
        <c:spPr>
          <a:ln w="12700">
            <a:solidFill>
              <a:srgbClr val="000000"/>
            </a:solidFill>
            <a:prstDash val="solid"/>
          </a:ln>
        </c:spPr>
        <c:txPr>
          <a:bodyPr rot="0" vert="horz"/>
          <a:lstStyle/>
          <a:p>
            <a:pPr>
              <a:defRPr sz="900" baseline="0"/>
            </a:pPr>
            <a:endParaRPr lang="en-US"/>
          </a:p>
        </c:txPr>
        <c:crossAx val="159746688"/>
        <c:crossesAt val="-20"/>
        <c:auto val="1"/>
        <c:lblOffset val="100"/>
        <c:baseTimeUnit val="months"/>
        <c:majorUnit val="3"/>
        <c:majorTimeUnit val="months"/>
        <c:minorUnit val="1"/>
        <c:minorTimeUnit val="months"/>
      </c:dateAx>
      <c:valAx>
        <c:axId val="159746688"/>
        <c:scaling>
          <c:orientation val="minMax"/>
          <c:min val="70"/>
        </c:scaling>
        <c:delete val="0"/>
        <c:axPos val="l"/>
        <c:numFmt formatCode="0" sourceLinked="0"/>
        <c:majorTickMark val="out"/>
        <c:minorTickMark val="none"/>
        <c:tickLblPos val="nextTo"/>
        <c:spPr>
          <a:ln w="12700">
            <a:solidFill>
              <a:srgbClr val="000000"/>
            </a:solidFill>
            <a:prstDash val="solid"/>
          </a:ln>
        </c:spPr>
        <c:txPr>
          <a:bodyPr rot="0" vert="horz"/>
          <a:lstStyle/>
          <a:p>
            <a:pPr>
              <a:defRPr sz="900" baseline="0"/>
            </a:pPr>
            <a:endParaRPr lang="en-US"/>
          </a:p>
        </c:txPr>
        <c:crossAx val="159745152"/>
        <c:crosses val="autoZero"/>
        <c:crossBetween val="between"/>
      </c:valAx>
      <c:dateAx>
        <c:axId val="163516800"/>
        <c:scaling>
          <c:orientation val="minMax"/>
          <c:max val="44531"/>
          <c:min val="44075"/>
        </c:scaling>
        <c:delete val="1"/>
        <c:axPos val="b"/>
        <c:numFmt formatCode="yyyy" sourceLinked="0"/>
        <c:majorTickMark val="none"/>
        <c:minorTickMark val="none"/>
        <c:tickLblPos val="none"/>
        <c:crossAx val="163518336"/>
        <c:crossesAt val="0"/>
        <c:auto val="1"/>
        <c:lblOffset val="100"/>
        <c:baseTimeUnit val="months"/>
      </c:dateAx>
      <c:valAx>
        <c:axId val="163518336"/>
        <c:scaling>
          <c:orientation val="minMax"/>
          <c:max val="110"/>
          <c:min val="70"/>
        </c:scaling>
        <c:delete val="0"/>
        <c:axPos val="r"/>
        <c:numFmt formatCode="#,##0" sourceLinked="0"/>
        <c:majorTickMark val="out"/>
        <c:minorTickMark val="none"/>
        <c:tickLblPos val="nextTo"/>
        <c:spPr>
          <a:ln w="12700">
            <a:solidFill>
              <a:srgbClr val="000000"/>
            </a:solidFill>
            <a:prstDash val="solid"/>
          </a:ln>
        </c:spPr>
        <c:txPr>
          <a:bodyPr rot="0" vert="horz"/>
          <a:lstStyle/>
          <a:p>
            <a:pPr>
              <a:defRPr sz="900" baseline="0"/>
            </a:pPr>
            <a:endParaRPr lang="en-US"/>
          </a:p>
        </c:txPr>
        <c:crossAx val="163516800"/>
        <c:crosses val="max"/>
        <c:crossBetween val="between"/>
      </c:valAx>
      <c:spPr>
        <a:noFill/>
        <a:ln w="25400">
          <a:noFill/>
        </a:ln>
      </c:spPr>
    </c:plotArea>
    <c:legend>
      <c:legendPos val="t"/>
      <c:layout>
        <c:manualLayout>
          <c:xMode val="edge"/>
          <c:yMode val="edge"/>
          <c:x val="8.762495657950968E-2"/>
          <c:y val="0"/>
          <c:w val="0.42498531665295236"/>
          <c:h val="0.14268468798173822"/>
        </c:manualLayout>
      </c:layout>
      <c:overlay val="0"/>
      <c:spPr>
        <a:solidFill>
          <a:schemeClr val="bg1"/>
        </a:solidFill>
      </c:spPr>
      <c:txPr>
        <a:bodyPr/>
        <a:lstStyle/>
        <a:p>
          <a:pPr>
            <a:defRPr sz="900" baseline="0"/>
          </a:pPr>
          <a:endParaRPr lang="en-US"/>
        </a:p>
      </c:txPr>
    </c:legend>
    <c:plotVisOnly val="1"/>
    <c:dispBlanksAs val="gap"/>
    <c:showDLblsOverMax val="0"/>
  </c:chart>
  <c:spPr>
    <a:noFill/>
    <a:ln w="25400">
      <a:noFill/>
    </a:ln>
    <a:effectLst/>
  </c:spPr>
  <c:txPr>
    <a:bodyPr/>
    <a:lstStyle/>
    <a:p>
      <a:pPr>
        <a:defRPr sz="600" b="0" i="0" u="none" strike="noStrike" baseline="0">
          <a:latin typeface="Optima lt Std"/>
          <a:ea typeface="Optima lt Std"/>
          <a:cs typeface="Optima lt Std"/>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0.62836</cdr:x>
      <cdr:y>0.42946</cdr:y>
    </cdr:from>
    <cdr:to>
      <cdr:x>0.903</cdr:x>
      <cdr:y>0.67465</cdr:y>
    </cdr:to>
    <cdr:sp macro="" textlink="">
      <cdr:nvSpPr>
        <cdr:cNvPr id="4" name="TextBox 3">
          <a:extLst xmlns:a="http://schemas.openxmlformats.org/drawingml/2006/main">
            <a:ext uri="{FF2B5EF4-FFF2-40B4-BE49-F238E27FC236}">
              <a16:creationId xmlns:a16="http://schemas.microsoft.com/office/drawing/2014/main" id="{DD0E49D6-BD25-498D-A9AA-500396A1F58B}"/>
            </a:ext>
          </a:extLst>
        </cdr:cNvPr>
        <cdr:cNvSpPr txBox="1"/>
      </cdr:nvSpPr>
      <cdr:spPr>
        <a:xfrm xmlns:a="http://schemas.openxmlformats.org/drawingml/2006/main">
          <a:off x="1696792" y="652457"/>
          <a:ext cx="741621" cy="3725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900" baseline="0">
              <a:latin typeface="Optima LT Std" panose="020B0502050508020304" pitchFamily="34" charset="0"/>
            </a:rPr>
            <a:t>Few</a:t>
          </a:r>
        </a:p>
        <a:p xmlns:a="http://schemas.openxmlformats.org/drawingml/2006/main">
          <a:pPr algn="l"/>
          <a:r>
            <a:rPr lang="en-GB" sz="900" baseline="0">
              <a:latin typeface="Optima LT Std" panose="020B0502050508020304" pitchFamily="34" charset="0"/>
            </a:rPr>
            <a:t>restrictions </a:t>
          </a:r>
        </a:p>
      </cdr:txBody>
    </cdr:sp>
  </cdr:relSizeAnchor>
  <cdr:relSizeAnchor xmlns:cdr="http://schemas.openxmlformats.org/drawingml/2006/chartDrawing">
    <cdr:from>
      <cdr:x>0.44386</cdr:x>
      <cdr:y>0.13099</cdr:y>
    </cdr:from>
    <cdr:to>
      <cdr:x>0.69625</cdr:x>
      <cdr:y>0.37618</cdr:y>
    </cdr:to>
    <cdr:sp macro="" textlink="">
      <cdr:nvSpPr>
        <cdr:cNvPr id="6" name="TextBox 1">
          <a:extLst xmlns:a="http://schemas.openxmlformats.org/drawingml/2006/main">
            <a:ext uri="{FF2B5EF4-FFF2-40B4-BE49-F238E27FC236}">
              <a16:creationId xmlns:a16="http://schemas.microsoft.com/office/drawing/2014/main" id="{6D1F25AA-8AB3-440F-A705-DA643CCD23D4}"/>
            </a:ext>
          </a:extLst>
        </cdr:cNvPr>
        <cdr:cNvSpPr txBox="1"/>
      </cdr:nvSpPr>
      <cdr:spPr>
        <a:xfrm xmlns:a="http://schemas.openxmlformats.org/drawingml/2006/main">
          <a:off x="1198562" y="198999"/>
          <a:ext cx="681538" cy="3725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baseline="0">
              <a:latin typeface="Optima LT Std" panose="020B0502050508020304" pitchFamily="34" charset="0"/>
            </a:rPr>
            <a:t>Schools </a:t>
          </a:r>
        </a:p>
        <a:p xmlns:a="http://schemas.openxmlformats.org/drawingml/2006/main">
          <a:pPr algn="ctr"/>
          <a:r>
            <a:rPr lang="en-GB" sz="900" baseline="0">
              <a:latin typeface="Optima LT Std" panose="020B0502050508020304" pitchFamily="34" charset="0"/>
            </a:rPr>
            <a:t>open</a:t>
          </a:r>
        </a:p>
      </cdr:txBody>
    </cdr:sp>
  </cdr:relSizeAnchor>
  <cdr:relSizeAnchor xmlns:cdr="http://schemas.openxmlformats.org/drawingml/2006/chartDrawing">
    <cdr:from>
      <cdr:x>0.48795</cdr:x>
      <cdr:y>0.58203</cdr:y>
    </cdr:from>
    <cdr:to>
      <cdr:x>0.74034</cdr:x>
      <cdr:y>0.82722</cdr:y>
    </cdr:to>
    <cdr:sp macro="" textlink="">
      <cdr:nvSpPr>
        <cdr:cNvPr id="20" name="TextBox 1">
          <a:extLst xmlns:a="http://schemas.openxmlformats.org/drawingml/2006/main">
            <a:ext uri="{FF2B5EF4-FFF2-40B4-BE49-F238E27FC236}">
              <a16:creationId xmlns:a16="http://schemas.microsoft.com/office/drawing/2014/main" id="{07E369D5-F324-45E2-BFFE-12BA3162523C}"/>
            </a:ext>
          </a:extLst>
        </cdr:cNvPr>
        <cdr:cNvSpPr txBox="1"/>
      </cdr:nvSpPr>
      <cdr:spPr>
        <a:xfrm xmlns:a="http://schemas.openxmlformats.org/drawingml/2006/main">
          <a:off x="1317619" y="884248"/>
          <a:ext cx="681538" cy="3725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Optima LT Std" panose="020B0502050508020304" pitchFamily="34" charset="0"/>
            </a:rPr>
            <a:t>Non-essential </a:t>
          </a:r>
          <a:r>
            <a:rPr lang="en-GB" sz="900" baseline="0">
              <a:latin typeface="Optima LT Std" panose="020B0502050508020304" pitchFamily="34" charset="0"/>
            </a:rPr>
            <a:t>retail</a:t>
          </a:r>
          <a:r>
            <a:rPr lang="en-GB" sz="900">
              <a:latin typeface="Optima LT Std" panose="020B0502050508020304" pitchFamily="34" charset="0"/>
            </a:rPr>
            <a:t> open</a:t>
          </a:r>
        </a:p>
      </cdr:txBody>
    </cdr:sp>
  </cdr:relSizeAnchor>
  <cdr:relSizeAnchor xmlns:cdr="http://schemas.openxmlformats.org/drawingml/2006/chartDrawing">
    <cdr:from>
      <cdr:x>0.51793</cdr:x>
      <cdr:y>0.03031</cdr:y>
    </cdr:from>
    <cdr:to>
      <cdr:x>0.51793</cdr:x>
      <cdr:y>0.88337</cdr:y>
    </cdr:to>
    <cdr:cxnSp macro="">
      <cdr:nvCxnSpPr>
        <cdr:cNvPr id="15" name="Straight Connector 14">
          <a:extLst xmlns:a="http://schemas.openxmlformats.org/drawingml/2006/main">
            <a:ext uri="{FF2B5EF4-FFF2-40B4-BE49-F238E27FC236}">
              <a16:creationId xmlns:a16="http://schemas.microsoft.com/office/drawing/2014/main" id="{1246481E-16C9-41FC-9E9A-E0BC76CC49BC}"/>
            </a:ext>
          </a:extLst>
        </cdr:cNvPr>
        <cdr:cNvCxnSpPr/>
      </cdr:nvCxnSpPr>
      <cdr:spPr>
        <a:xfrm xmlns:a="http://schemas.openxmlformats.org/drawingml/2006/main" flipH="1" flipV="1">
          <a:off x="1398573" y="46041"/>
          <a:ext cx="0" cy="1296001"/>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0.56437</cdr:x>
      <cdr:y>0.279</cdr:y>
    </cdr:from>
    <cdr:to>
      <cdr:x>0.56437</cdr:x>
      <cdr:y>0.39748</cdr:y>
    </cdr:to>
    <cdr:cxnSp macro="">
      <cdr:nvCxnSpPr>
        <cdr:cNvPr id="18" name="Straight Connector 17">
          <a:extLst xmlns:a="http://schemas.openxmlformats.org/drawingml/2006/main">
            <a:ext uri="{FF2B5EF4-FFF2-40B4-BE49-F238E27FC236}">
              <a16:creationId xmlns:a16="http://schemas.microsoft.com/office/drawing/2014/main" id="{21BA76CA-AB7B-407F-A4CB-B54C22B8671B}"/>
            </a:ext>
          </a:extLst>
        </cdr:cNvPr>
        <cdr:cNvCxnSpPr/>
      </cdr:nvCxnSpPr>
      <cdr:spPr>
        <a:xfrm xmlns:a="http://schemas.openxmlformats.org/drawingml/2006/main">
          <a:off x="1524000" y="423862"/>
          <a:ext cx="0" cy="180000"/>
        </a:xfrm>
        <a:prstGeom xmlns:a="http://schemas.openxmlformats.org/drawingml/2006/main" prst="line">
          <a:avLst/>
        </a:prstGeom>
        <a:ln xmlns:a="http://schemas.openxmlformats.org/drawingml/2006/main">
          <a:solidFill>
            <a:schemeClr val="tx1"/>
          </a:solidFill>
          <a:prstDash val="solid"/>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0.60317</cdr:x>
      <cdr:y>0.40125</cdr:y>
    </cdr:from>
    <cdr:to>
      <cdr:x>0.60317</cdr:x>
      <cdr:y>0.61452</cdr:y>
    </cdr:to>
    <cdr:cxnSp macro="">
      <cdr:nvCxnSpPr>
        <cdr:cNvPr id="19" name="Straight Connector 18">
          <a:extLst xmlns:a="http://schemas.openxmlformats.org/drawingml/2006/main">
            <a:ext uri="{FF2B5EF4-FFF2-40B4-BE49-F238E27FC236}">
              <a16:creationId xmlns:a16="http://schemas.microsoft.com/office/drawing/2014/main" id="{F3B8219B-E6DA-48A6-AEE6-6B20DF325C65}"/>
            </a:ext>
          </a:extLst>
        </cdr:cNvPr>
        <cdr:cNvCxnSpPr/>
      </cdr:nvCxnSpPr>
      <cdr:spPr>
        <a:xfrm xmlns:a="http://schemas.openxmlformats.org/drawingml/2006/main" flipH="1" flipV="1">
          <a:off x="1628776" y="609600"/>
          <a:ext cx="0" cy="324000"/>
        </a:xfrm>
        <a:prstGeom xmlns:a="http://schemas.openxmlformats.org/drawingml/2006/main" prst="line">
          <a:avLst/>
        </a:prstGeom>
        <a:ln xmlns:a="http://schemas.openxmlformats.org/drawingml/2006/main">
          <a:solidFill>
            <a:schemeClr val="tx1"/>
          </a:solidFill>
          <a:prstDash val="solid"/>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0.64139</cdr:x>
      <cdr:y>0.17137</cdr:y>
    </cdr:from>
    <cdr:to>
      <cdr:x>0.64139</cdr:x>
      <cdr:y>0.36093</cdr:y>
    </cdr:to>
    <cdr:cxnSp macro="">
      <cdr:nvCxnSpPr>
        <cdr:cNvPr id="22" name="Straight Connector 21">
          <a:extLst xmlns:a="http://schemas.openxmlformats.org/drawingml/2006/main">
            <a:ext uri="{FF2B5EF4-FFF2-40B4-BE49-F238E27FC236}">
              <a16:creationId xmlns:a16="http://schemas.microsoft.com/office/drawing/2014/main" id="{F3B8219B-E6DA-48A6-AEE6-6B20DF325C65}"/>
            </a:ext>
          </a:extLst>
        </cdr:cNvPr>
        <cdr:cNvCxnSpPr/>
      </cdr:nvCxnSpPr>
      <cdr:spPr>
        <a:xfrm xmlns:a="http://schemas.openxmlformats.org/drawingml/2006/main" flipH="1" flipV="1">
          <a:off x="1731968" y="260346"/>
          <a:ext cx="0" cy="288000"/>
        </a:xfrm>
        <a:prstGeom xmlns:a="http://schemas.openxmlformats.org/drawingml/2006/main" prst="line">
          <a:avLst/>
        </a:prstGeom>
        <a:ln xmlns:a="http://schemas.openxmlformats.org/drawingml/2006/main" w="9525">
          <a:solidFill>
            <a:sysClr val="windowText" lastClr="000000"/>
          </a:solidFill>
          <a:prstDash val="solid"/>
          <a:headEnd type="triangle" w="med" len="med"/>
          <a:tailEnd type="non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0.67843</cdr:x>
      <cdr:y>0.33437</cdr:y>
    </cdr:from>
    <cdr:to>
      <cdr:x>0.67843</cdr:x>
      <cdr:y>0.45285</cdr:y>
    </cdr:to>
    <cdr:cxnSp macro="">
      <cdr:nvCxnSpPr>
        <cdr:cNvPr id="23" name="Straight Connector 22">
          <a:extLst xmlns:a="http://schemas.openxmlformats.org/drawingml/2006/main">
            <a:ext uri="{FF2B5EF4-FFF2-40B4-BE49-F238E27FC236}">
              <a16:creationId xmlns:a16="http://schemas.microsoft.com/office/drawing/2014/main" id="{F3B8219B-E6DA-48A6-AEE6-6B20DF325C65}"/>
            </a:ext>
          </a:extLst>
        </cdr:cNvPr>
        <cdr:cNvCxnSpPr/>
      </cdr:nvCxnSpPr>
      <cdr:spPr>
        <a:xfrm xmlns:a="http://schemas.openxmlformats.org/drawingml/2006/main" flipH="1" flipV="1">
          <a:off x="1831982" y="507993"/>
          <a:ext cx="0" cy="180000"/>
        </a:xfrm>
        <a:prstGeom xmlns:a="http://schemas.openxmlformats.org/drawingml/2006/main" prst="line">
          <a:avLst/>
        </a:prstGeom>
        <a:ln xmlns:a="http://schemas.openxmlformats.org/drawingml/2006/main">
          <a:solidFill>
            <a:schemeClr val="tx1"/>
          </a:solidFill>
          <a:prstDash val="solid"/>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0.52146</cdr:x>
      <cdr:y>0.01777</cdr:y>
    </cdr:from>
    <cdr:to>
      <cdr:x>0.77385</cdr:x>
      <cdr:y>0.26296</cdr:y>
    </cdr:to>
    <cdr:sp macro="" textlink="">
      <cdr:nvSpPr>
        <cdr:cNvPr id="26" name="TextBox 1">
          <a:extLst xmlns:a="http://schemas.openxmlformats.org/drawingml/2006/main">
            <a:ext uri="{FF2B5EF4-FFF2-40B4-BE49-F238E27FC236}">
              <a16:creationId xmlns:a16="http://schemas.microsoft.com/office/drawing/2014/main" id="{4A28E45F-9421-4B83-976A-73BAA06639BB}"/>
            </a:ext>
          </a:extLst>
        </cdr:cNvPr>
        <cdr:cNvSpPr txBox="1"/>
      </cdr:nvSpPr>
      <cdr:spPr>
        <a:xfrm xmlns:a="http://schemas.openxmlformats.org/drawingml/2006/main">
          <a:off x="1408105" y="26993"/>
          <a:ext cx="681539" cy="3725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baseline="0">
              <a:latin typeface="Optima LT Std" panose="020B0502050508020304" pitchFamily="34" charset="0"/>
            </a:rPr>
            <a:t>Hospitality</a:t>
          </a:r>
        </a:p>
        <a:p xmlns:a="http://schemas.openxmlformats.org/drawingml/2006/main">
          <a:pPr algn="ctr"/>
          <a:r>
            <a:rPr lang="en-GB" sz="900" baseline="0">
              <a:latin typeface="Optima LT Std" panose="020B0502050508020304" pitchFamily="34" charset="0"/>
            </a:rPr>
            <a:t>open</a:t>
          </a:r>
        </a:p>
      </cdr:txBody>
    </cdr:sp>
  </cdr:relSizeAnchor>
  <cdr:relSizeAnchor xmlns:cdr="http://schemas.openxmlformats.org/drawingml/2006/chartDrawing">
    <cdr:from>
      <cdr:x>0.51146</cdr:x>
      <cdr:y>0.78056</cdr:y>
    </cdr:from>
    <cdr:to>
      <cdr:x>0.92769</cdr:x>
      <cdr:y>0.91536</cdr:y>
    </cdr:to>
    <cdr:sp macro="" textlink="">
      <cdr:nvSpPr>
        <cdr:cNvPr id="28" name="TextBox 1">
          <a:extLst xmlns:a="http://schemas.openxmlformats.org/drawingml/2006/main">
            <a:ext uri="{FF2B5EF4-FFF2-40B4-BE49-F238E27FC236}">
              <a16:creationId xmlns:a16="http://schemas.microsoft.com/office/drawing/2014/main" id="{590D800B-4FAD-4FC2-A484-52D467479308}"/>
            </a:ext>
          </a:extLst>
        </cdr:cNvPr>
        <cdr:cNvSpPr txBox="1"/>
      </cdr:nvSpPr>
      <cdr:spPr>
        <a:xfrm xmlns:a="http://schemas.openxmlformats.org/drawingml/2006/main">
          <a:off x="1381126" y="1185863"/>
          <a:ext cx="1123947" cy="204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900" baseline="0">
              <a:latin typeface="Optima LT Std" panose="020B0502050508020304" pitchFamily="34" charset="0"/>
            </a:rPr>
            <a:t>Capital Economics Forecast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b11bda97-64e7-4000-91fd-dcaad77bf85d" ContentTypeId="0x0101000226E4B75CFA47B488D2CEFE4DCFDD6412"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5.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5.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1CFC2B-81DE-4DB9-B083-D50E7290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5762</Words>
  <Characters>30343</Characters>
  <Application>Microsoft Office Word</Application>
  <DocSecurity>0</DocSecurity>
  <Lines>252</Lines>
  <Paragraphs>72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36033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Alison Atherton</cp:lastModifiedBy>
  <cp:revision>3</cp:revision>
  <cp:lastPrinted>2019-09-02T07:18:00Z</cp:lastPrinted>
  <dcterms:created xsi:type="dcterms:W3CDTF">2021-07-07T13:01:00Z</dcterms:created>
  <dcterms:modified xsi:type="dcterms:W3CDTF">2021-07-07T13:02:00Z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